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C76FC">
      <w:pPr>
        <w:keepNext w:val="0"/>
        <w:keepLines w:val="0"/>
        <w:widowControl/>
        <w:suppressLineNumbers w:val="0"/>
        <w:jc w:val="center"/>
        <w:rPr>
          <w:rFonts w:ascii="微软雅黑" w:hAnsi="微软雅黑" w:eastAsia="微软雅黑" w:cs="微软雅黑"/>
          <w:color w:val="000000"/>
          <w:kern w:val="0"/>
          <w:sz w:val="55"/>
          <w:szCs w:val="55"/>
          <w:lang w:val="en-US" w:eastAsia="zh-CN" w:bidi="ar"/>
        </w:rPr>
      </w:pPr>
    </w:p>
    <w:p w14:paraId="3BF3D9B7">
      <w:pPr>
        <w:keepNext w:val="0"/>
        <w:keepLines w:val="0"/>
        <w:widowControl/>
        <w:suppressLineNumbers w:val="0"/>
        <w:jc w:val="center"/>
        <w:rPr>
          <w:rFonts w:ascii="微软雅黑" w:hAnsi="微软雅黑" w:eastAsia="微软雅黑" w:cs="微软雅黑"/>
          <w:color w:val="000000"/>
          <w:kern w:val="0"/>
          <w:sz w:val="55"/>
          <w:szCs w:val="55"/>
          <w:lang w:val="en-US" w:eastAsia="zh-CN" w:bidi="ar"/>
        </w:rPr>
      </w:pPr>
    </w:p>
    <w:p w14:paraId="5334475A">
      <w:pPr>
        <w:keepNext w:val="0"/>
        <w:keepLines w:val="0"/>
        <w:widowControl/>
        <w:suppressLineNumbers w:val="0"/>
        <w:jc w:val="center"/>
        <w:rPr>
          <w:rFonts w:ascii="微软雅黑" w:hAnsi="微软雅黑" w:eastAsia="微软雅黑" w:cs="微软雅黑"/>
          <w:color w:val="000000"/>
          <w:kern w:val="0"/>
          <w:sz w:val="55"/>
          <w:szCs w:val="55"/>
          <w:lang w:val="en-US" w:eastAsia="zh-CN" w:bidi="ar"/>
        </w:rPr>
      </w:pPr>
    </w:p>
    <w:p w14:paraId="2B89BB3C">
      <w:pPr>
        <w:keepNext w:val="0"/>
        <w:keepLines w:val="0"/>
        <w:widowControl/>
        <w:suppressLineNumbers w:val="0"/>
        <w:jc w:val="center"/>
        <w:rPr>
          <w:sz w:val="50"/>
          <w:szCs w:val="50"/>
        </w:rPr>
      </w:pPr>
      <w:r>
        <w:rPr>
          <w:rFonts w:ascii="微软雅黑" w:hAnsi="微软雅黑" w:eastAsia="微软雅黑" w:cs="微软雅黑"/>
          <w:color w:val="000000"/>
          <w:kern w:val="0"/>
          <w:sz w:val="50"/>
          <w:szCs w:val="50"/>
          <w:lang w:val="en-US" w:eastAsia="zh-CN" w:bidi="ar"/>
        </w:rPr>
        <w:t>202</w:t>
      </w:r>
      <w:r>
        <w:rPr>
          <w:rFonts w:hint="eastAsia" w:ascii="微软雅黑" w:hAnsi="微软雅黑" w:eastAsia="微软雅黑" w:cs="微软雅黑"/>
          <w:color w:val="000000"/>
          <w:kern w:val="0"/>
          <w:sz w:val="50"/>
          <w:szCs w:val="50"/>
          <w:lang w:val="en-US" w:eastAsia="zh-CN" w:bidi="ar"/>
        </w:rPr>
        <w:t>5</w:t>
      </w:r>
      <w:r>
        <w:rPr>
          <w:rFonts w:ascii="微软雅黑" w:hAnsi="微软雅黑" w:eastAsia="微软雅黑" w:cs="微软雅黑"/>
          <w:color w:val="000000"/>
          <w:kern w:val="0"/>
          <w:sz w:val="50"/>
          <w:szCs w:val="50"/>
          <w:lang w:val="en-US" w:eastAsia="zh-CN" w:bidi="ar"/>
        </w:rPr>
        <w:t>年</w:t>
      </w:r>
      <w:r>
        <w:rPr>
          <w:rFonts w:hint="eastAsia" w:ascii="微软雅黑" w:hAnsi="微软雅黑" w:eastAsia="微软雅黑" w:cs="微软雅黑"/>
          <w:color w:val="000000"/>
          <w:kern w:val="0"/>
          <w:sz w:val="50"/>
          <w:szCs w:val="50"/>
          <w:lang w:val="en-US" w:eastAsia="zh-CN" w:bidi="ar"/>
        </w:rPr>
        <w:t>唐山市中等职业学校</w:t>
      </w:r>
      <w:r>
        <w:rPr>
          <w:rFonts w:ascii="微软雅黑" w:hAnsi="微软雅黑" w:eastAsia="微软雅黑" w:cs="微软雅黑"/>
          <w:color w:val="000000"/>
          <w:kern w:val="0"/>
          <w:sz w:val="50"/>
          <w:szCs w:val="50"/>
          <w:lang w:val="en-US" w:eastAsia="zh-CN" w:bidi="ar"/>
        </w:rPr>
        <w:t>技能</w:t>
      </w:r>
      <w:r>
        <w:rPr>
          <w:rFonts w:hint="eastAsia" w:ascii="微软雅黑" w:hAnsi="微软雅黑" w:eastAsia="微软雅黑" w:cs="微软雅黑"/>
          <w:color w:val="000000"/>
          <w:kern w:val="0"/>
          <w:sz w:val="50"/>
          <w:szCs w:val="50"/>
          <w:lang w:val="en-US" w:eastAsia="zh-CN" w:bidi="ar"/>
        </w:rPr>
        <w:t>竞赛</w:t>
      </w:r>
    </w:p>
    <w:p w14:paraId="77804370">
      <w:pPr>
        <w:keepNext w:val="0"/>
        <w:keepLines w:val="0"/>
        <w:widowControl/>
        <w:suppressLineNumbers w:val="0"/>
        <w:jc w:val="center"/>
        <w:rPr>
          <w:sz w:val="50"/>
          <w:szCs w:val="50"/>
        </w:rPr>
      </w:pPr>
      <w:r>
        <w:rPr>
          <w:rFonts w:hint="eastAsia" w:ascii="微软雅黑" w:hAnsi="微软雅黑" w:eastAsia="微软雅黑" w:cs="微软雅黑"/>
          <w:color w:val="000000"/>
          <w:kern w:val="0"/>
          <w:sz w:val="50"/>
          <w:szCs w:val="50"/>
          <w:lang w:val="en-US" w:eastAsia="zh-CN" w:bidi="ar"/>
        </w:rPr>
        <w:t>赛项规程</w:t>
      </w:r>
    </w:p>
    <w:p w14:paraId="5B616634">
      <w:pPr>
        <w:keepNext w:val="0"/>
        <w:keepLines w:val="0"/>
        <w:widowControl/>
        <w:suppressLineNumbers w:val="0"/>
        <w:jc w:val="left"/>
        <w:rPr>
          <w:rFonts w:ascii="黑体" w:hAnsi="宋体" w:eastAsia="黑体" w:cs="黑体"/>
          <w:color w:val="000000"/>
          <w:kern w:val="0"/>
          <w:sz w:val="31"/>
          <w:szCs w:val="31"/>
          <w:lang w:val="en-US" w:eastAsia="zh-CN" w:bidi="ar"/>
        </w:rPr>
      </w:pPr>
    </w:p>
    <w:p w14:paraId="64B860AB">
      <w:pPr>
        <w:keepNext w:val="0"/>
        <w:keepLines w:val="0"/>
        <w:widowControl/>
        <w:suppressLineNumbers w:val="0"/>
        <w:jc w:val="left"/>
        <w:rPr>
          <w:rFonts w:ascii="黑体" w:hAnsi="宋体" w:eastAsia="黑体" w:cs="黑体"/>
          <w:color w:val="000000"/>
          <w:kern w:val="0"/>
          <w:sz w:val="31"/>
          <w:szCs w:val="31"/>
          <w:lang w:val="en-US" w:eastAsia="zh-CN" w:bidi="ar"/>
        </w:rPr>
      </w:pPr>
    </w:p>
    <w:p w14:paraId="54525950">
      <w:pPr>
        <w:keepNext w:val="0"/>
        <w:keepLines w:val="0"/>
        <w:widowControl/>
        <w:suppressLineNumbers w:val="0"/>
        <w:jc w:val="left"/>
        <w:rPr>
          <w:rFonts w:ascii="黑体" w:hAnsi="宋体" w:eastAsia="黑体" w:cs="黑体"/>
          <w:color w:val="000000"/>
          <w:kern w:val="0"/>
          <w:sz w:val="31"/>
          <w:szCs w:val="31"/>
          <w:lang w:val="en-US" w:eastAsia="zh-CN" w:bidi="ar"/>
        </w:rPr>
      </w:pPr>
    </w:p>
    <w:p w14:paraId="5D5AD4A4">
      <w:pPr>
        <w:keepNext w:val="0"/>
        <w:keepLines w:val="0"/>
        <w:widowControl/>
        <w:suppressLineNumbers w:val="0"/>
        <w:jc w:val="left"/>
        <w:rPr>
          <w:rFonts w:ascii="黑体" w:hAnsi="宋体" w:eastAsia="黑体" w:cs="黑体"/>
          <w:color w:val="000000"/>
          <w:kern w:val="0"/>
          <w:sz w:val="31"/>
          <w:szCs w:val="31"/>
          <w:lang w:val="en-US" w:eastAsia="zh-CN" w:bidi="ar"/>
        </w:rPr>
      </w:pPr>
    </w:p>
    <w:p w14:paraId="722ADFF0">
      <w:pPr>
        <w:keepNext w:val="0"/>
        <w:keepLines w:val="0"/>
        <w:widowControl/>
        <w:suppressLineNumbers w:val="0"/>
        <w:jc w:val="left"/>
        <w:rPr>
          <w:rFonts w:ascii="黑体" w:hAnsi="宋体" w:eastAsia="黑体" w:cs="黑体"/>
          <w:color w:val="000000"/>
          <w:kern w:val="0"/>
          <w:sz w:val="31"/>
          <w:szCs w:val="31"/>
          <w:lang w:val="en-US" w:eastAsia="zh-CN" w:bidi="ar"/>
        </w:rPr>
      </w:pPr>
    </w:p>
    <w:p w14:paraId="3B7CF624">
      <w:pPr>
        <w:keepNext w:val="0"/>
        <w:keepLines w:val="0"/>
        <w:widowControl/>
        <w:suppressLineNumbers w:val="0"/>
        <w:jc w:val="left"/>
        <w:rPr>
          <w:rFonts w:ascii="黑体" w:hAnsi="宋体" w:eastAsia="黑体" w:cs="黑体"/>
          <w:color w:val="000000"/>
          <w:kern w:val="0"/>
          <w:sz w:val="31"/>
          <w:szCs w:val="31"/>
          <w:lang w:val="en-US" w:eastAsia="zh-CN" w:bidi="ar"/>
        </w:rPr>
      </w:pPr>
    </w:p>
    <w:p w14:paraId="06EB9226">
      <w:pPr>
        <w:keepNext w:val="0"/>
        <w:keepLines w:val="0"/>
        <w:widowControl/>
        <w:suppressLineNumbers w:val="0"/>
        <w:ind w:firstLine="930" w:firstLineChars="300"/>
        <w:jc w:val="left"/>
      </w:pPr>
      <w:r>
        <w:rPr>
          <w:rFonts w:ascii="黑体" w:hAnsi="宋体" w:eastAsia="黑体" w:cs="黑体"/>
          <w:color w:val="000000"/>
          <w:kern w:val="0"/>
          <w:sz w:val="31"/>
          <w:szCs w:val="31"/>
          <w:lang w:val="en-US" w:eastAsia="zh-CN" w:bidi="ar"/>
        </w:rPr>
        <w:t>赛项名称：</w:t>
      </w:r>
      <w:r>
        <w:rPr>
          <w:rFonts w:hint="eastAsia" w:ascii="黑体" w:hAnsi="宋体" w:eastAsia="黑体" w:cs="黑体"/>
          <w:color w:val="000000"/>
          <w:kern w:val="0"/>
          <w:sz w:val="31"/>
          <w:szCs w:val="31"/>
          <w:u w:val="thick"/>
          <w:lang w:val="en-US" w:eastAsia="zh-CN" w:bidi="ar"/>
        </w:rPr>
        <w:t xml:space="preserve">    现代企业云数字服务     </w:t>
      </w:r>
    </w:p>
    <w:p w14:paraId="4071E8FA">
      <w:pPr>
        <w:keepNext w:val="0"/>
        <w:keepLines w:val="0"/>
        <w:widowControl/>
        <w:suppressLineNumbers w:val="0"/>
        <w:ind w:firstLine="930" w:firstLineChars="300"/>
        <w:jc w:val="left"/>
        <w:rPr>
          <w:rFonts w:hint="eastAsia" w:ascii="黑体" w:hAnsi="宋体" w:eastAsia="黑体" w:cs="黑体"/>
          <w:color w:val="000000"/>
          <w:kern w:val="0"/>
          <w:sz w:val="31"/>
          <w:szCs w:val="31"/>
          <w:u w:val="thick"/>
          <w:lang w:val="en-US" w:eastAsia="zh-CN" w:bidi="ar"/>
        </w:rPr>
      </w:pPr>
      <w:r>
        <w:rPr>
          <w:rFonts w:hint="eastAsia" w:ascii="黑体" w:hAnsi="宋体" w:eastAsia="黑体" w:cs="黑体"/>
          <w:color w:val="000000"/>
          <w:kern w:val="0"/>
          <w:sz w:val="31"/>
          <w:szCs w:val="31"/>
          <w:lang w:val="en-US" w:eastAsia="zh-CN" w:bidi="ar"/>
        </w:rPr>
        <w:t>赛项组别：</w:t>
      </w:r>
      <w:r>
        <w:rPr>
          <w:rFonts w:hint="eastAsia" w:ascii="黑体" w:hAnsi="宋体" w:eastAsia="黑体" w:cs="黑体"/>
          <w:color w:val="000000"/>
          <w:kern w:val="0"/>
          <w:sz w:val="31"/>
          <w:szCs w:val="31"/>
          <w:u w:val="thick"/>
          <w:lang w:val="en-US" w:eastAsia="zh-CN" w:bidi="ar"/>
        </w:rPr>
        <w:t xml:space="preserve">      中等职业学校         </w:t>
      </w:r>
    </w:p>
    <w:p w14:paraId="198BB53B">
      <w:pPr>
        <w:keepNext w:val="0"/>
        <w:keepLines w:val="0"/>
        <w:widowControl/>
        <w:suppressLineNumbers w:val="0"/>
        <w:ind w:firstLine="620" w:firstLineChars="200"/>
        <w:jc w:val="left"/>
        <w:rPr>
          <w:rFonts w:hint="eastAsia" w:ascii="黑体" w:hAnsi="宋体" w:eastAsia="黑体" w:cs="黑体"/>
          <w:color w:val="000000"/>
          <w:kern w:val="0"/>
          <w:sz w:val="31"/>
          <w:szCs w:val="31"/>
          <w:u w:val="thick"/>
          <w:lang w:val="en-US" w:eastAsia="zh-CN" w:bidi="ar"/>
        </w:rPr>
      </w:pPr>
    </w:p>
    <w:p w14:paraId="55FAEF8B">
      <w:pPr>
        <w:keepNext w:val="0"/>
        <w:keepLines w:val="0"/>
        <w:widowControl/>
        <w:suppressLineNumbers w:val="0"/>
        <w:ind w:firstLine="620" w:firstLineChars="200"/>
        <w:jc w:val="left"/>
        <w:rPr>
          <w:rFonts w:hint="eastAsia" w:ascii="黑体" w:hAnsi="宋体" w:eastAsia="黑体" w:cs="黑体"/>
          <w:color w:val="000000"/>
          <w:kern w:val="0"/>
          <w:sz w:val="31"/>
          <w:szCs w:val="31"/>
          <w:u w:val="thick"/>
          <w:lang w:val="en-US" w:eastAsia="zh-CN" w:bidi="ar"/>
        </w:rPr>
      </w:pPr>
      <w:bookmarkStart w:id="1" w:name="_GoBack"/>
      <w:bookmarkEnd w:id="1"/>
    </w:p>
    <w:p w14:paraId="13572924">
      <w:pPr>
        <w:keepNext w:val="0"/>
        <w:keepLines w:val="0"/>
        <w:widowControl/>
        <w:suppressLineNumbers w:val="0"/>
        <w:ind w:firstLine="620" w:firstLineChars="200"/>
        <w:jc w:val="left"/>
        <w:rPr>
          <w:rFonts w:hint="eastAsia" w:ascii="黑体" w:hAnsi="宋体" w:eastAsia="黑体" w:cs="黑体"/>
          <w:color w:val="000000"/>
          <w:kern w:val="0"/>
          <w:sz w:val="31"/>
          <w:szCs w:val="31"/>
          <w:u w:val="thick"/>
          <w:lang w:val="en-US" w:eastAsia="zh-CN" w:bidi="ar"/>
        </w:rPr>
      </w:pPr>
    </w:p>
    <w:p w14:paraId="2BFF8424">
      <w:pPr>
        <w:pStyle w:val="2"/>
        <w:rPr>
          <w:rFonts w:hint="eastAsia" w:ascii="黑体" w:hAnsi="宋体" w:eastAsia="黑体" w:cs="黑体"/>
          <w:color w:val="000000"/>
          <w:kern w:val="0"/>
          <w:sz w:val="31"/>
          <w:szCs w:val="31"/>
          <w:u w:val="thick"/>
          <w:lang w:val="en-US" w:eastAsia="zh-CN" w:bidi="ar"/>
        </w:rPr>
      </w:pPr>
    </w:p>
    <w:p w14:paraId="361E4F93">
      <w:pPr>
        <w:pStyle w:val="2"/>
        <w:rPr>
          <w:rFonts w:hint="eastAsia" w:ascii="黑体" w:hAnsi="宋体" w:eastAsia="黑体" w:cs="黑体"/>
          <w:color w:val="000000"/>
          <w:kern w:val="0"/>
          <w:sz w:val="31"/>
          <w:szCs w:val="31"/>
          <w:u w:val="thick"/>
          <w:lang w:val="en-US" w:eastAsia="zh-CN" w:bidi="ar"/>
        </w:rPr>
      </w:pPr>
    </w:p>
    <w:p w14:paraId="56405BCF">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黑体" w:hAnsi="黑体" w:eastAsia="黑体"/>
          <w:color w:val="000000"/>
          <w:sz w:val="30"/>
          <w:szCs w:val="30"/>
        </w:rPr>
      </w:pPr>
      <w:r>
        <w:rPr>
          <w:rFonts w:hint="eastAsia" w:ascii="黑体" w:hAnsi="黑体" w:eastAsia="黑体" w:cs="黑体"/>
          <w:color w:val="000000"/>
          <w:sz w:val="30"/>
          <w:szCs w:val="30"/>
          <w:lang w:val="en-US" w:eastAsia="zh-CN"/>
        </w:rPr>
        <w:t>一</w:t>
      </w:r>
      <w:r>
        <w:rPr>
          <w:rFonts w:hint="eastAsia" w:ascii="黑体" w:hAnsi="黑体" w:eastAsia="黑体" w:cs="黑体"/>
          <w:color w:val="000000"/>
          <w:sz w:val="30"/>
          <w:szCs w:val="30"/>
        </w:rPr>
        <w:t>、竞赛目的</w:t>
      </w:r>
    </w:p>
    <w:p w14:paraId="10D234D9">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eastAsia="仿宋_GB2312" w:cs="仿宋_GB2312"/>
          <w:color w:val="000000"/>
          <w:sz w:val="24"/>
          <w:szCs w:val="24"/>
        </w:rPr>
      </w:pPr>
      <w:r>
        <w:rPr>
          <w:rFonts w:hint="eastAsia" w:ascii="仿宋_GB2312" w:hAnsi="Times New Roman" w:eastAsia="仿宋_GB2312" w:cs="仿宋_GB2312"/>
          <w:color w:val="000000"/>
          <w:kern w:val="2"/>
          <w:sz w:val="30"/>
          <w:szCs w:val="30"/>
          <w:lang w:eastAsia="zh-CN"/>
        </w:rPr>
        <w:t>为充分发挥技能大赛引领专业建设及课程改革的提升作用，促进中职学校会计专业的建设及人才的培养进程，以满足社会对会计技能人才的需求。通过竞赛，检验和展示全</w:t>
      </w:r>
      <w:r>
        <w:rPr>
          <w:rFonts w:hint="eastAsia" w:ascii="仿宋_GB2312" w:hAnsi="Times New Roman" w:eastAsia="仿宋_GB2312" w:cs="仿宋_GB2312"/>
          <w:color w:val="000000"/>
          <w:kern w:val="2"/>
          <w:sz w:val="30"/>
          <w:szCs w:val="30"/>
          <w:lang w:val="en-US" w:eastAsia="zh-CN"/>
        </w:rPr>
        <w:t>唐山市</w:t>
      </w:r>
      <w:r>
        <w:rPr>
          <w:rFonts w:hint="eastAsia" w:ascii="仿宋_GB2312" w:hAnsi="Times New Roman" w:eastAsia="仿宋_GB2312" w:cs="仿宋_GB2312"/>
          <w:color w:val="000000"/>
          <w:kern w:val="2"/>
          <w:sz w:val="30"/>
          <w:szCs w:val="30"/>
          <w:lang w:eastAsia="zh-CN"/>
        </w:rPr>
        <w:t>中等职业学校学生会计信息化操作技能，引领和促进</w:t>
      </w:r>
      <w:r>
        <w:rPr>
          <w:rFonts w:hint="eastAsia" w:ascii="仿宋_GB2312" w:hAnsi="Times New Roman" w:eastAsia="仿宋_GB2312" w:cs="仿宋_GB2312"/>
          <w:color w:val="000000"/>
          <w:kern w:val="2"/>
          <w:sz w:val="30"/>
          <w:szCs w:val="30"/>
          <w:lang w:val="en-US" w:eastAsia="zh-CN"/>
        </w:rPr>
        <w:t>唐山市</w:t>
      </w:r>
      <w:r>
        <w:rPr>
          <w:rFonts w:hint="eastAsia" w:ascii="仿宋_GB2312" w:hAnsi="Times New Roman" w:eastAsia="仿宋_GB2312" w:cs="仿宋_GB2312"/>
          <w:color w:val="000000"/>
          <w:kern w:val="2"/>
          <w:sz w:val="30"/>
          <w:szCs w:val="30"/>
          <w:lang w:eastAsia="zh-CN"/>
        </w:rPr>
        <w:t>中职学校财经类专业教育教学改革，激发和调动行业企业关注和参与财经类专业教育教学改革的主动性和积极性，推动提升</w:t>
      </w:r>
      <w:r>
        <w:rPr>
          <w:rFonts w:hint="eastAsia" w:ascii="仿宋_GB2312" w:hAnsi="Times New Roman" w:eastAsia="仿宋_GB2312" w:cs="仿宋_GB2312"/>
          <w:color w:val="000000"/>
          <w:kern w:val="2"/>
          <w:sz w:val="30"/>
          <w:szCs w:val="30"/>
          <w:lang w:val="en-US" w:eastAsia="zh-CN"/>
        </w:rPr>
        <w:t>唐山市</w:t>
      </w:r>
      <w:r>
        <w:rPr>
          <w:rFonts w:hint="eastAsia" w:ascii="仿宋_GB2312" w:hAnsi="Times New Roman" w:eastAsia="仿宋_GB2312" w:cs="仿宋_GB2312"/>
          <w:color w:val="000000"/>
          <w:kern w:val="2"/>
          <w:sz w:val="30"/>
          <w:szCs w:val="30"/>
          <w:lang w:eastAsia="zh-CN"/>
        </w:rPr>
        <w:t>中职学校财经职业人才培养水平，深化校企合作、引导教学改革和专业方向调整，探索培养企业需要的高素质技能型人才的新途径、新方法。</w:t>
      </w:r>
    </w:p>
    <w:p w14:paraId="31ACE96B">
      <w:pPr>
        <w:keepNext w:val="0"/>
        <w:keepLines w:val="0"/>
        <w:pageBreakBefore w:val="0"/>
        <w:widowControl w:val="0"/>
        <w:kinsoku/>
        <w:wordWrap/>
        <w:overflowPunct/>
        <w:topLinePunct w:val="0"/>
        <w:bidi w:val="0"/>
        <w:adjustRightInd w:val="0"/>
        <w:snapToGrid w:val="0"/>
        <w:spacing w:line="480" w:lineRule="exact"/>
        <w:ind w:firstLine="600" w:firstLineChars="200"/>
        <w:textAlignment w:val="auto"/>
        <w:rPr>
          <w:rFonts w:ascii="黑体" w:hAnsi="黑体" w:eastAsia="黑体"/>
          <w:color w:val="000000"/>
          <w:sz w:val="30"/>
          <w:szCs w:val="30"/>
        </w:rPr>
      </w:pPr>
      <w:r>
        <w:rPr>
          <w:rFonts w:hint="eastAsia" w:ascii="黑体" w:hAnsi="黑体" w:eastAsia="黑体" w:cs="黑体"/>
          <w:color w:val="000000"/>
          <w:sz w:val="30"/>
          <w:szCs w:val="30"/>
          <w:lang w:val="en-US" w:eastAsia="zh-CN"/>
        </w:rPr>
        <w:t>二</w:t>
      </w:r>
      <w:r>
        <w:rPr>
          <w:rFonts w:hint="eastAsia" w:ascii="黑体" w:hAnsi="黑体" w:eastAsia="黑体" w:cs="黑体"/>
          <w:color w:val="000000"/>
          <w:sz w:val="30"/>
          <w:szCs w:val="30"/>
        </w:rPr>
        <w:t>、竞赛内容</w:t>
      </w:r>
    </w:p>
    <w:p w14:paraId="3DB01F43">
      <w:pPr>
        <w:keepNext w:val="0"/>
        <w:keepLines w:val="0"/>
        <w:pageBreakBefore w:val="0"/>
        <w:widowControl w:val="0"/>
        <w:kinsoku/>
        <w:wordWrap/>
        <w:overflowPunct/>
        <w:topLinePunct w:val="0"/>
        <w:bidi w:val="0"/>
        <w:adjustRightInd w:val="0"/>
        <w:snapToGrid w:val="0"/>
        <w:spacing w:line="480" w:lineRule="exact"/>
        <w:ind w:firstLine="602" w:firstLineChars="200"/>
        <w:textAlignment w:val="auto"/>
        <w:rPr>
          <w:rFonts w:ascii="仿宋_GB2312" w:eastAsia="仿宋_GB2312"/>
          <w:b/>
          <w:bCs/>
          <w:color w:val="000000"/>
          <w:sz w:val="30"/>
          <w:szCs w:val="30"/>
        </w:rPr>
      </w:pPr>
      <w:r>
        <w:rPr>
          <w:rFonts w:hint="eastAsia" w:ascii="仿宋_GB2312" w:eastAsia="仿宋_GB2312" w:cs="仿宋_GB2312"/>
          <w:b/>
          <w:bCs/>
          <w:color w:val="000000"/>
          <w:sz w:val="30"/>
          <w:szCs w:val="30"/>
        </w:rPr>
        <w:t>（一）赛项内容</w:t>
      </w:r>
    </w:p>
    <w:p w14:paraId="6C6D4640">
      <w:pPr>
        <w:keepNext w:val="0"/>
        <w:keepLines w:val="0"/>
        <w:pageBreakBefore w:val="0"/>
        <w:widowControl w:val="0"/>
        <w:kinsoku/>
        <w:wordWrap/>
        <w:overflowPunct/>
        <w:topLinePunct w:val="0"/>
        <w:autoSpaceDE w:val="0"/>
        <w:autoSpaceDN w:val="0"/>
        <w:bidi w:val="0"/>
        <w:adjustRightInd w:val="0"/>
        <w:snapToGrid w:val="0"/>
        <w:spacing w:line="480" w:lineRule="exact"/>
        <w:ind w:firstLine="600" w:firstLineChars="200"/>
        <w:textAlignment w:val="auto"/>
        <w:rPr>
          <w:rFonts w:ascii="仿宋_GB2312" w:eastAsia="仿宋_GB2312" w:cs="仿宋_GB2312"/>
          <w:color w:val="000000"/>
          <w:sz w:val="30"/>
          <w:szCs w:val="30"/>
        </w:rPr>
      </w:pPr>
      <w:r>
        <w:rPr>
          <w:rFonts w:hint="eastAsia" w:ascii="仿宋_GB2312" w:eastAsia="仿宋_GB2312" w:cs="仿宋_GB2312"/>
          <w:color w:val="000000"/>
          <w:sz w:val="30"/>
          <w:szCs w:val="30"/>
        </w:rPr>
        <w:t>资料模拟制造业企业一个月的</w:t>
      </w:r>
      <w:r>
        <w:rPr>
          <w:rFonts w:ascii="仿宋_GB2312" w:eastAsia="仿宋_GB2312" w:cs="仿宋_GB2312"/>
          <w:color w:val="000000"/>
          <w:sz w:val="30"/>
          <w:szCs w:val="30"/>
        </w:rPr>
        <w:t>40-50</w:t>
      </w:r>
      <w:r>
        <w:rPr>
          <w:rFonts w:hint="eastAsia" w:ascii="仿宋_GB2312" w:eastAsia="仿宋_GB2312" w:cs="仿宋_GB2312"/>
          <w:color w:val="000000"/>
          <w:sz w:val="30"/>
          <w:szCs w:val="30"/>
        </w:rPr>
        <w:t>笔经济业务，执行《小企业会计准则》《会计基础工作规范》《企业会计信息化工作规范》和现行税法（相关财税法规截止</w:t>
      </w:r>
      <w:r>
        <w:rPr>
          <w:rFonts w:ascii="仿宋_GB2312" w:eastAsia="仿宋_GB2312" w:cs="仿宋_GB2312"/>
          <w:color w:val="000000"/>
          <w:sz w:val="30"/>
          <w:szCs w:val="30"/>
        </w:rPr>
        <w:t>202</w:t>
      </w:r>
      <w:r>
        <w:rPr>
          <w:rFonts w:hint="eastAsia" w:ascii="仿宋_GB2312" w:eastAsia="仿宋_GB2312" w:cs="仿宋_GB2312"/>
          <w:color w:val="000000"/>
          <w:sz w:val="30"/>
          <w:szCs w:val="30"/>
        </w:rPr>
        <w:t>2年</w:t>
      </w:r>
      <w:r>
        <w:rPr>
          <w:rFonts w:ascii="仿宋_GB2312" w:eastAsia="仿宋_GB2312" w:cs="仿宋_GB2312"/>
          <w:color w:val="000000"/>
          <w:sz w:val="30"/>
          <w:szCs w:val="30"/>
        </w:rPr>
        <w:t>7</w:t>
      </w:r>
      <w:r>
        <w:rPr>
          <w:rFonts w:hint="eastAsia" w:ascii="仿宋_GB2312" w:eastAsia="仿宋_GB2312" w:cs="仿宋_GB2312"/>
          <w:color w:val="000000"/>
          <w:sz w:val="30"/>
          <w:szCs w:val="30"/>
        </w:rPr>
        <w:t>月</w:t>
      </w:r>
      <w:r>
        <w:rPr>
          <w:rFonts w:ascii="仿宋_GB2312" w:eastAsia="仿宋_GB2312" w:cs="仿宋_GB2312"/>
          <w:color w:val="000000"/>
          <w:sz w:val="30"/>
          <w:szCs w:val="30"/>
        </w:rPr>
        <w:t>1</w:t>
      </w:r>
      <w:r>
        <w:rPr>
          <w:rFonts w:hint="eastAsia" w:ascii="仿宋_GB2312" w:eastAsia="仿宋_GB2312" w:cs="仿宋_GB2312"/>
          <w:color w:val="000000"/>
          <w:sz w:val="30"/>
          <w:szCs w:val="30"/>
        </w:rPr>
        <w:t>日前），运用记账凭证核算形式，通过竞赛平台完成相关业务处理。</w:t>
      </w:r>
    </w:p>
    <w:p w14:paraId="566DB49A">
      <w:pPr>
        <w:keepNext w:val="0"/>
        <w:keepLines w:val="0"/>
        <w:pageBreakBefore w:val="0"/>
        <w:widowControl w:val="0"/>
        <w:kinsoku/>
        <w:wordWrap/>
        <w:overflowPunct/>
        <w:topLinePunct w:val="0"/>
        <w:autoSpaceDE w:val="0"/>
        <w:autoSpaceDN w:val="0"/>
        <w:bidi w:val="0"/>
        <w:adjustRightInd w:val="0"/>
        <w:snapToGrid w:val="0"/>
        <w:spacing w:line="480" w:lineRule="exact"/>
        <w:ind w:firstLine="600" w:firstLineChars="200"/>
        <w:textAlignment w:val="auto"/>
        <w:rPr>
          <w:rFonts w:ascii="仿宋_GB2312" w:eastAsia="仿宋_GB2312" w:cs="仿宋_GB2312"/>
          <w:color w:val="000000"/>
          <w:sz w:val="30"/>
          <w:szCs w:val="30"/>
        </w:rPr>
      </w:pPr>
      <w:r>
        <w:rPr>
          <w:rFonts w:hint="eastAsia" w:ascii="仿宋_GB2312" w:eastAsia="仿宋_GB2312" w:cs="仿宋_GB2312"/>
          <w:color w:val="000000"/>
          <w:sz w:val="30"/>
          <w:szCs w:val="30"/>
        </w:rPr>
        <w:t>业务处理按要求在总账、工资管理、固定资产、购销存管理、核算、财务报表、纳税申报等模块中完成，操作过程包括初始设置、填制和审核原始凭证、编制或生成记账凭证、审核记账凭证、记账、对账并结账、编制资产负债表和利润表、纳税申报</w:t>
      </w:r>
      <w:r>
        <w:rPr>
          <w:rFonts w:hint="eastAsia" w:ascii="仿宋_GB2312" w:eastAsia="仿宋_GB2312" w:cs="仿宋_GB2312"/>
          <w:color w:val="000000"/>
          <w:sz w:val="30"/>
          <w:szCs w:val="30"/>
          <w:lang w:val="en-US" w:eastAsia="zh-CN"/>
        </w:rPr>
        <w:t>与电子发票</w:t>
      </w:r>
      <w:r>
        <w:rPr>
          <w:rFonts w:hint="eastAsia" w:ascii="仿宋_GB2312" w:eastAsia="仿宋_GB2312" w:cs="仿宋_GB2312"/>
          <w:color w:val="000000"/>
          <w:sz w:val="30"/>
          <w:szCs w:val="30"/>
        </w:rPr>
        <w:t>等。要求参赛选手结合竞赛平台操作，由竞赛平台自动评分。比赛总分</w:t>
      </w:r>
      <w:r>
        <w:rPr>
          <w:rFonts w:ascii="仿宋_GB2312" w:eastAsia="仿宋_GB2312" w:cs="仿宋_GB2312"/>
          <w:color w:val="000000"/>
          <w:sz w:val="30"/>
          <w:szCs w:val="30"/>
        </w:rPr>
        <w:t>100</w:t>
      </w:r>
      <w:r>
        <w:rPr>
          <w:rFonts w:hint="eastAsia" w:ascii="仿宋_GB2312" w:eastAsia="仿宋_GB2312" w:cs="仿宋_GB2312"/>
          <w:color w:val="000000"/>
          <w:sz w:val="30"/>
          <w:szCs w:val="30"/>
        </w:rPr>
        <w:t>分，限时</w:t>
      </w:r>
      <w:r>
        <w:rPr>
          <w:rFonts w:ascii="仿宋_GB2312" w:eastAsia="仿宋_GB2312" w:cs="仿宋_GB2312"/>
          <w:color w:val="000000"/>
          <w:sz w:val="30"/>
          <w:szCs w:val="30"/>
        </w:rPr>
        <w:t>180</w:t>
      </w:r>
      <w:r>
        <w:rPr>
          <w:rFonts w:hint="eastAsia" w:ascii="仿宋_GB2312" w:eastAsia="仿宋_GB2312" w:cs="仿宋_GB2312"/>
          <w:color w:val="000000"/>
          <w:sz w:val="30"/>
          <w:szCs w:val="30"/>
        </w:rPr>
        <w:t>分钟。</w:t>
      </w:r>
    </w:p>
    <w:p w14:paraId="483EDFA4">
      <w:pPr>
        <w:keepNext w:val="0"/>
        <w:keepLines w:val="0"/>
        <w:pageBreakBefore w:val="0"/>
        <w:widowControl w:val="0"/>
        <w:kinsoku/>
        <w:wordWrap/>
        <w:overflowPunct/>
        <w:topLinePunct w:val="0"/>
        <w:bidi w:val="0"/>
        <w:adjustRightInd w:val="0"/>
        <w:snapToGrid w:val="0"/>
        <w:spacing w:line="480" w:lineRule="exact"/>
        <w:ind w:firstLine="602" w:firstLineChars="200"/>
        <w:textAlignment w:val="auto"/>
        <w:rPr>
          <w:rFonts w:ascii="仿宋_GB2312" w:eastAsia="仿宋_GB2312"/>
          <w:b/>
          <w:bCs/>
          <w:color w:val="000000"/>
          <w:sz w:val="30"/>
          <w:szCs w:val="30"/>
        </w:rPr>
      </w:pPr>
      <w:r>
        <w:rPr>
          <w:rFonts w:hint="eastAsia" w:ascii="仿宋_GB2312" w:eastAsia="仿宋_GB2312" w:cs="仿宋_GB2312"/>
          <w:b/>
          <w:bCs/>
          <w:color w:val="000000"/>
          <w:sz w:val="30"/>
          <w:szCs w:val="30"/>
        </w:rPr>
        <w:t>（二）业务范围</w:t>
      </w:r>
    </w:p>
    <w:p w14:paraId="2C31ED93">
      <w:pPr>
        <w:keepNext w:val="0"/>
        <w:keepLines w:val="0"/>
        <w:pageBreakBefore w:val="0"/>
        <w:widowControl w:val="0"/>
        <w:kinsoku/>
        <w:wordWrap/>
        <w:overflowPunct/>
        <w:topLinePunct w:val="0"/>
        <w:bidi w:val="0"/>
        <w:adjustRightInd w:val="0"/>
        <w:snapToGrid w:val="0"/>
        <w:spacing w:line="480" w:lineRule="exact"/>
        <w:ind w:firstLine="600" w:firstLineChars="200"/>
        <w:textAlignment w:val="auto"/>
        <w:rPr>
          <w:rFonts w:ascii="仿宋_GB2312" w:eastAsia="仿宋_GB2312"/>
          <w:color w:val="000000"/>
          <w:sz w:val="30"/>
          <w:szCs w:val="30"/>
        </w:rPr>
      </w:pPr>
      <w:r>
        <w:rPr>
          <w:rFonts w:ascii="仿宋_GB2312" w:eastAsia="仿宋_GB2312" w:cs="仿宋_GB2312"/>
          <w:color w:val="000000"/>
          <w:sz w:val="30"/>
          <w:szCs w:val="30"/>
        </w:rPr>
        <w:t>1.</w:t>
      </w:r>
      <w:r>
        <w:rPr>
          <w:rFonts w:hint="eastAsia" w:ascii="仿宋_GB2312" w:eastAsia="仿宋_GB2312" w:cs="仿宋_GB2312"/>
          <w:color w:val="000000"/>
          <w:sz w:val="30"/>
          <w:szCs w:val="30"/>
        </w:rPr>
        <w:t>货币资金：库存现金、银行存款、其他货币资金。</w:t>
      </w:r>
    </w:p>
    <w:p w14:paraId="12BA1E66">
      <w:pPr>
        <w:keepNext w:val="0"/>
        <w:keepLines w:val="0"/>
        <w:pageBreakBefore w:val="0"/>
        <w:widowControl w:val="0"/>
        <w:kinsoku/>
        <w:wordWrap/>
        <w:overflowPunct/>
        <w:topLinePunct w:val="0"/>
        <w:bidi w:val="0"/>
        <w:adjustRightInd w:val="0"/>
        <w:snapToGrid w:val="0"/>
        <w:spacing w:line="480" w:lineRule="exact"/>
        <w:ind w:firstLine="600" w:firstLineChars="200"/>
        <w:textAlignment w:val="auto"/>
        <w:rPr>
          <w:rFonts w:ascii="仿宋_GB2312" w:eastAsia="仿宋_GB2312" w:cs="仿宋_GB2312"/>
          <w:color w:val="000000"/>
          <w:sz w:val="30"/>
          <w:szCs w:val="30"/>
        </w:rPr>
      </w:pPr>
      <w:r>
        <w:rPr>
          <w:rFonts w:ascii="仿宋_GB2312" w:eastAsia="仿宋_GB2312" w:cs="仿宋_GB2312"/>
          <w:color w:val="000000"/>
          <w:sz w:val="30"/>
          <w:szCs w:val="30"/>
        </w:rPr>
        <w:t>2.</w:t>
      </w:r>
      <w:r>
        <w:rPr>
          <w:rFonts w:hint="eastAsia" w:ascii="仿宋_GB2312" w:eastAsia="仿宋_GB2312" w:cs="仿宋_GB2312"/>
          <w:color w:val="000000"/>
          <w:sz w:val="30"/>
          <w:szCs w:val="30"/>
        </w:rPr>
        <w:t>应收款项：应收票据、应收账款、预付账款、其他应收款、坏账核算。</w:t>
      </w:r>
    </w:p>
    <w:p w14:paraId="3407ECA3">
      <w:pPr>
        <w:keepNext w:val="0"/>
        <w:keepLines w:val="0"/>
        <w:pageBreakBefore w:val="0"/>
        <w:widowControl w:val="0"/>
        <w:kinsoku/>
        <w:wordWrap/>
        <w:overflowPunct/>
        <w:topLinePunct w:val="0"/>
        <w:bidi w:val="0"/>
        <w:adjustRightInd w:val="0"/>
        <w:snapToGrid w:val="0"/>
        <w:spacing w:line="480" w:lineRule="exact"/>
        <w:ind w:firstLine="600" w:firstLineChars="200"/>
        <w:textAlignment w:val="auto"/>
        <w:rPr>
          <w:rFonts w:ascii="仿宋_GB2312" w:eastAsia="仿宋_GB2312"/>
          <w:color w:val="000000"/>
          <w:sz w:val="30"/>
          <w:szCs w:val="30"/>
        </w:rPr>
      </w:pPr>
      <w:r>
        <w:rPr>
          <w:rFonts w:hint="eastAsia" w:ascii="仿宋_GB2312" w:eastAsia="仿宋_GB2312" w:cs="仿宋_GB2312"/>
          <w:color w:val="000000"/>
          <w:sz w:val="30"/>
          <w:szCs w:val="30"/>
        </w:rPr>
        <w:t>3.短期投资：短期投资取得、短期投资收益、短期投资出售。</w:t>
      </w:r>
    </w:p>
    <w:p w14:paraId="5BCEFFF3">
      <w:pPr>
        <w:keepNext w:val="0"/>
        <w:keepLines w:val="0"/>
        <w:pageBreakBefore w:val="0"/>
        <w:widowControl w:val="0"/>
        <w:kinsoku/>
        <w:wordWrap/>
        <w:overflowPunct/>
        <w:topLinePunct w:val="0"/>
        <w:bidi w:val="0"/>
        <w:adjustRightInd w:val="0"/>
        <w:snapToGrid w:val="0"/>
        <w:spacing w:line="480" w:lineRule="exact"/>
        <w:ind w:firstLine="600" w:firstLineChars="200"/>
        <w:textAlignment w:val="auto"/>
        <w:rPr>
          <w:rFonts w:ascii="仿宋_GB2312" w:eastAsia="仿宋_GB2312"/>
          <w:color w:val="000000"/>
          <w:sz w:val="30"/>
          <w:szCs w:val="30"/>
        </w:rPr>
      </w:pPr>
      <w:r>
        <w:rPr>
          <w:rFonts w:hint="eastAsia" w:ascii="仿宋_GB2312" w:eastAsia="仿宋_GB2312" w:cs="仿宋_GB2312"/>
          <w:color w:val="000000"/>
          <w:sz w:val="30"/>
          <w:szCs w:val="30"/>
        </w:rPr>
        <w:t>4</w:t>
      </w:r>
      <w:r>
        <w:rPr>
          <w:rFonts w:ascii="仿宋_GB2312" w:eastAsia="仿宋_GB2312" w:cs="仿宋_GB2312"/>
          <w:color w:val="000000"/>
          <w:sz w:val="30"/>
          <w:szCs w:val="30"/>
        </w:rPr>
        <w:t>.</w:t>
      </w:r>
      <w:r>
        <w:rPr>
          <w:rFonts w:hint="eastAsia" w:ascii="仿宋_GB2312" w:eastAsia="仿宋_GB2312" w:cs="仿宋_GB2312"/>
          <w:color w:val="000000"/>
          <w:sz w:val="30"/>
          <w:szCs w:val="30"/>
        </w:rPr>
        <w:t>存货：原材料、在途物资、周转材料、库存商品、委托加工物资、存货清查。</w:t>
      </w:r>
    </w:p>
    <w:p w14:paraId="4DA6D6DC">
      <w:pPr>
        <w:keepNext w:val="0"/>
        <w:keepLines w:val="0"/>
        <w:pageBreakBefore w:val="0"/>
        <w:widowControl w:val="0"/>
        <w:kinsoku/>
        <w:wordWrap/>
        <w:overflowPunct/>
        <w:topLinePunct w:val="0"/>
        <w:bidi w:val="0"/>
        <w:adjustRightInd w:val="0"/>
        <w:snapToGrid w:val="0"/>
        <w:spacing w:line="480" w:lineRule="exact"/>
        <w:ind w:firstLine="600" w:firstLineChars="200"/>
        <w:textAlignment w:val="auto"/>
        <w:rPr>
          <w:rFonts w:ascii="仿宋_GB2312" w:eastAsia="仿宋_GB2312"/>
          <w:color w:val="000000"/>
          <w:sz w:val="30"/>
          <w:szCs w:val="30"/>
        </w:rPr>
      </w:pPr>
      <w:r>
        <w:rPr>
          <w:rFonts w:hint="eastAsia" w:ascii="仿宋_GB2312" w:eastAsia="仿宋_GB2312" w:cs="仿宋_GB2312"/>
          <w:color w:val="000000"/>
          <w:sz w:val="30"/>
          <w:szCs w:val="30"/>
        </w:rPr>
        <w:t>5</w:t>
      </w:r>
      <w:r>
        <w:rPr>
          <w:rFonts w:ascii="仿宋_GB2312" w:eastAsia="仿宋_GB2312" w:cs="仿宋_GB2312"/>
          <w:color w:val="000000"/>
          <w:sz w:val="30"/>
          <w:szCs w:val="30"/>
        </w:rPr>
        <w:t>.</w:t>
      </w:r>
      <w:r>
        <w:rPr>
          <w:rFonts w:hint="eastAsia" w:ascii="仿宋_GB2312" w:eastAsia="仿宋_GB2312" w:cs="仿宋_GB2312"/>
          <w:color w:val="000000"/>
          <w:sz w:val="30"/>
          <w:szCs w:val="30"/>
        </w:rPr>
        <w:t>固定资产：固定资产取得、固定资产折旧、固定资产后续支出、固定资产处置、固定资产清查。</w:t>
      </w:r>
    </w:p>
    <w:p w14:paraId="2964F168">
      <w:pPr>
        <w:keepNext w:val="0"/>
        <w:keepLines w:val="0"/>
        <w:pageBreakBefore w:val="0"/>
        <w:widowControl w:val="0"/>
        <w:kinsoku/>
        <w:wordWrap/>
        <w:overflowPunct/>
        <w:topLinePunct w:val="0"/>
        <w:bidi w:val="0"/>
        <w:adjustRightInd w:val="0"/>
        <w:snapToGrid w:val="0"/>
        <w:spacing w:line="480" w:lineRule="exact"/>
        <w:ind w:firstLine="600" w:firstLineChars="200"/>
        <w:textAlignment w:val="auto"/>
        <w:rPr>
          <w:rFonts w:ascii="仿宋_GB2312" w:eastAsia="仿宋_GB2312"/>
          <w:color w:val="000000"/>
          <w:sz w:val="30"/>
          <w:szCs w:val="30"/>
        </w:rPr>
      </w:pPr>
      <w:r>
        <w:rPr>
          <w:rFonts w:hint="eastAsia" w:ascii="仿宋_GB2312" w:eastAsia="仿宋_GB2312" w:cs="仿宋_GB2312"/>
          <w:color w:val="000000"/>
          <w:sz w:val="30"/>
          <w:szCs w:val="30"/>
        </w:rPr>
        <w:t>6</w:t>
      </w:r>
      <w:r>
        <w:rPr>
          <w:rFonts w:ascii="仿宋_GB2312" w:eastAsia="仿宋_GB2312" w:cs="仿宋_GB2312"/>
          <w:color w:val="000000"/>
          <w:sz w:val="30"/>
          <w:szCs w:val="30"/>
        </w:rPr>
        <w:t>.</w:t>
      </w:r>
      <w:r>
        <w:rPr>
          <w:rFonts w:hint="eastAsia" w:ascii="仿宋_GB2312" w:eastAsia="仿宋_GB2312" w:cs="仿宋_GB2312"/>
          <w:color w:val="000000"/>
          <w:sz w:val="30"/>
          <w:szCs w:val="30"/>
        </w:rPr>
        <w:t>无形资产：无形资产取得、无形资产摊销、无形资产处置。</w:t>
      </w:r>
    </w:p>
    <w:p w14:paraId="6D04117D">
      <w:pPr>
        <w:keepNext w:val="0"/>
        <w:keepLines w:val="0"/>
        <w:pageBreakBefore w:val="0"/>
        <w:widowControl w:val="0"/>
        <w:kinsoku/>
        <w:wordWrap/>
        <w:overflowPunct/>
        <w:topLinePunct w:val="0"/>
        <w:bidi w:val="0"/>
        <w:adjustRightInd w:val="0"/>
        <w:snapToGrid w:val="0"/>
        <w:spacing w:line="480" w:lineRule="exact"/>
        <w:ind w:firstLine="600" w:firstLineChars="200"/>
        <w:textAlignment w:val="auto"/>
        <w:rPr>
          <w:rFonts w:ascii="仿宋_GB2312" w:eastAsia="仿宋_GB2312" w:cs="仿宋_GB2312"/>
          <w:color w:val="000000"/>
          <w:sz w:val="30"/>
          <w:szCs w:val="30"/>
        </w:rPr>
      </w:pPr>
      <w:r>
        <w:rPr>
          <w:rFonts w:hint="eastAsia" w:ascii="仿宋_GB2312" w:eastAsia="仿宋_GB2312" w:cs="仿宋_GB2312"/>
          <w:color w:val="000000"/>
          <w:sz w:val="30"/>
          <w:szCs w:val="30"/>
        </w:rPr>
        <w:t>7.长期投资：长期债券投资、长期股权投资。</w:t>
      </w:r>
    </w:p>
    <w:p w14:paraId="3AAADF69">
      <w:pPr>
        <w:keepNext w:val="0"/>
        <w:keepLines w:val="0"/>
        <w:pageBreakBefore w:val="0"/>
        <w:widowControl w:val="0"/>
        <w:kinsoku/>
        <w:wordWrap/>
        <w:overflowPunct/>
        <w:topLinePunct w:val="0"/>
        <w:bidi w:val="0"/>
        <w:adjustRightInd w:val="0"/>
        <w:snapToGrid w:val="0"/>
        <w:spacing w:line="480" w:lineRule="exact"/>
        <w:ind w:firstLine="600" w:firstLineChars="200"/>
        <w:textAlignment w:val="auto"/>
        <w:rPr>
          <w:rFonts w:ascii="仿宋_GB2312" w:eastAsia="仿宋_GB2312"/>
          <w:color w:val="000000"/>
          <w:sz w:val="30"/>
          <w:szCs w:val="30"/>
        </w:rPr>
      </w:pPr>
      <w:r>
        <w:rPr>
          <w:rFonts w:hint="eastAsia" w:ascii="仿宋_GB2312" w:eastAsia="仿宋_GB2312" w:cs="仿宋_GB2312"/>
          <w:color w:val="000000"/>
          <w:sz w:val="30"/>
          <w:szCs w:val="30"/>
        </w:rPr>
        <w:t>8</w:t>
      </w:r>
      <w:r>
        <w:rPr>
          <w:rFonts w:ascii="仿宋_GB2312" w:eastAsia="仿宋_GB2312" w:cs="仿宋_GB2312"/>
          <w:color w:val="000000"/>
          <w:sz w:val="30"/>
          <w:szCs w:val="30"/>
        </w:rPr>
        <w:t>.</w:t>
      </w:r>
      <w:r>
        <w:rPr>
          <w:rFonts w:hint="eastAsia" w:ascii="仿宋_GB2312" w:eastAsia="仿宋_GB2312" w:cs="仿宋_GB2312"/>
          <w:color w:val="000000"/>
          <w:sz w:val="30"/>
          <w:szCs w:val="30"/>
        </w:rPr>
        <w:t>流动负债：短期借款、应付票据、应付账款、预收账款、应付职工薪酬、应交税费、其他应付款、应付利息、应付利润。</w:t>
      </w:r>
    </w:p>
    <w:p w14:paraId="73935573">
      <w:pPr>
        <w:keepNext w:val="0"/>
        <w:keepLines w:val="0"/>
        <w:pageBreakBefore w:val="0"/>
        <w:widowControl w:val="0"/>
        <w:kinsoku/>
        <w:wordWrap/>
        <w:overflowPunct/>
        <w:topLinePunct w:val="0"/>
        <w:bidi w:val="0"/>
        <w:adjustRightInd w:val="0"/>
        <w:snapToGrid w:val="0"/>
        <w:spacing w:line="480" w:lineRule="exact"/>
        <w:ind w:firstLine="600" w:firstLineChars="200"/>
        <w:textAlignment w:val="auto"/>
        <w:rPr>
          <w:rFonts w:ascii="仿宋_GB2312" w:eastAsia="仿宋_GB2312"/>
          <w:color w:val="000000"/>
          <w:sz w:val="30"/>
          <w:szCs w:val="30"/>
        </w:rPr>
      </w:pPr>
      <w:r>
        <w:rPr>
          <w:rFonts w:hint="eastAsia" w:ascii="仿宋_GB2312" w:eastAsia="仿宋_GB2312" w:cs="仿宋_GB2312"/>
          <w:color w:val="000000"/>
          <w:sz w:val="30"/>
          <w:szCs w:val="30"/>
        </w:rPr>
        <w:t>9</w:t>
      </w:r>
      <w:r>
        <w:rPr>
          <w:rFonts w:ascii="仿宋_GB2312" w:eastAsia="仿宋_GB2312" w:cs="仿宋_GB2312"/>
          <w:color w:val="000000"/>
          <w:sz w:val="30"/>
          <w:szCs w:val="30"/>
        </w:rPr>
        <w:t>.</w:t>
      </w:r>
      <w:r>
        <w:rPr>
          <w:rFonts w:hint="eastAsia" w:ascii="仿宋_GB2312" w:eastAsia="仿宋_GB2312" w:cs="仿宋_GB2312"/>
          <w:color w:val="000000"/>
          <w:sz w:val="30"/>
          <w:szCs w:val="30"/>
        </w:rPr>
        <w:t>非流动负债：长期借款、长期应付款。</w:t>
      </w:r>
    </w:p>
    <w:p w14:paraId="6F601E53">
      <w:pPr>
        <w:keepNext w:val="0"/>
        <w:keepLines w:val="0"/>
        <w:pageBreakBefore w:val="0"/>
        <w:widowControl w:val="0"/>
        <w:kinsoku/>
        <w:wordWrap/>
        <w:overflowPunct/>
        <w:topLinePunct w:val="0"/>
        <w:bidi w:val="0"/>
        <w:adjustRightInd w:val="0"/>
        <w:snapToGrid w:val="0"/>
        <w:spacing w:line="480" w:lineRule="exact"/>
        <w:ind w:firstLine="600" w:firstLineChars="200"/>
        <w:textAlignment w:val="auto"/>
        <w:rPr>
          <w:rFonts w:ascii="仿宋_GB2312" w:eastAsia="仿宋_GB2312"/>
          <w:color w:val="000000"/>
          <w:sz w:val="30"/>
          <w:szCs w:val="30"/>
        </w:rPr>
      </w:pPr>
      <w:r>
        <w:rPr>
          <w:rFonts w:hint="eastAsia" w:ascii="仿宋_GB2312" w:eastAsia="仿宋_GB2312" w:cs="仿宋_GB2312"/>
          <w:color w:val="000000"/>
          <w:sz w:val="30"/>
          <w:szCs w:val="30"/>
        </w:rPr>
        <w:t>10</w:t>
      </w:r>
      <w:r>
        <w:rPr>
          <w:rFonts w:ascii="仿宋_GB2312" w:eastAsia="仿宋_GB2312" w:cs="仿宋_GB2312"/>
          <w:color w:val="000000"/>
          <w:sz w:val="30"/>
          <w:szCs w:val="30"/>
        </w:rPr>
        <w:t>.</w:t>
      </w:r>
      <w:r>
        <w:rPr>
          <w:rFonts w:hint="eastAsia" w:ascii="仿宋_GB2312" w:eastAsia="仿宋_GB2312" w:cs="仿宋_GB2312"/>
          <w:color w:val="000000"/>
          <w:sz w:val="30"/>
          <w:szCs w:val="30"/>
        </w:rPr>
        <w:t>所有者权益：实收资本、资本公积、盈余公积、利润分配、未分配利润。</w:t>
      </w:r>
    </w:p>
    <w:p w14:paraId="36B59656">
      <w:pPr>
        <w:keepNext w:val="0"/>
        <w:keepLines w:val="0"/>
        <w:pageBreakBefore w:val="0"/>
        <w:widowControl w:val="0"/>
        <w:kinsoku/>
        <w:wordWrap/>
        <w:overflowPunct/>
        <w:topLinePunct w:val="0"/>
        <w:bidi w:val="0"/>
        <w:adjustRightInd w:val="0"/>
        <w:snapToGrid w:val="0"/>
        <w:spacing w:line="480" w:lineRule="exact"/>
        <w:ind w:firstLine="600" w:firstLineChars="200"/>
        <w:textAlignment w:val="auto"/>
        <w:rPr>
          <w:rFonts w:ascii="仿宋_GB2312" w:eastAsia="仿宋_GB2312"/>
          <w:color w:val="000000"/>
          <w:sz w:val="30"/>
          <w:szCs w:val="30"/>
        </w:rPr>
      </w:pPr>
      <w:r>
        <w:rPr>
          <w:rFonts w:hint="eastAsia" w:ascii="仿宋_GB2312" w:eastAsia="仿宋_GB2312" w:cs="仿宋_GB2312"/>
          <w:color w:val="000000"/>
          <w:sz w:val="30"/>
          <w:szCs w:val="30"/>
        </w:rPr>
        <w:t>11</w:t>
      </w:r>
      <w:r>
        <w:rPr>
          <w:rFonts w:ascii="仿宋_GB2312" w:eastAsia="仿宋_GB2312" w:cs="仿宋_GB2312"/>
          <w:color w:val="000000"/>
          <w:sz w:val="30"/>
          <w:szCs w:val="30"/>
        </w:rPr>
        <w:t>.</w:t>
      </w:r>
      <w:r>
        <w:rPr>
          <w:rFonts w:hint="eastAsia" w:ascii="仿宋_GB2312" w:eastAsia="仿宋_GB2312" w:cs="仿宋_GB2312"/>
          <w:color w:val="000000"/>
          <w:sz w:val="30"/>
          <w:szCs w:val="30"/>
        </w:rPr>
        <w:t>收入：销售商品收入、提供劳务收入。</w:t>
      </w:r>
    </w:p>
    <w:p w14:paraId="2ACE3B40">
      <w:pPr>
        <w:keepNext w:val="0"/>
        <w:keepLines w:val="0"/>
        <w:pageBreakBefore w:val="0"/>
        <w:widowControl w:val="0"/>
        <w:kinsoku/>
        <w:wordWrap/>
        <w:overflowPunct/>
        <w:topLinePunct w:val="0"/>
        <w:bidi w:val="0"/>
        <w:adjustRightInd w:val="0"/>
        <w:snapToGrid w:val="0"/>
        <w:spacing w:line="480" w:lineRule="exact"/>
        <w:ind w:firstLine="600" w:firstLineChars="200"/>
        <w:textAlignment w:val="auto"/>
        <w:rPr>
          <w:rFonts w:ascii="仿宋_GB2312" w:eastAsia="仿宋_GB2312"/>
          <w:color w:val="000000"/>
          <w:sz w:val="30"/>
          <w:szCs w:val="30"/>
        </w:rPr>
      </w:pPr>
      <w:r>
        <w:rPr>
          <w:rFonts w:ascii="仿宋_GB2312" w:eastAsia="仿宋_GB2312" w:cs="仿宋_GB2312"/>
          <w:color w:val="000000"/>
          <w:sz w:val="30"/>
          <w:szCs w:val="30"/>
        </w:rPr>
        <w:t>1</w:t>
      </w:r>
      <w:r>
        <w:rPr>
          <w:rFonts w:hint="eastAsia" w:ascii="仿宋_GB2312" w:eastAsia="仿宋_GB2312" w:cs="仿宋_GB2312"/>
          <w:color w:val="000000"/>
          <w:sz w:val="30"/>
          <w:szCs w:val="30"/>
        </w:rPr>
        <w:t>2</w:t>
      </w:r>
      <w:r>
        <w:rPr>
          <w:rFonts w:ascii="仿宋_GB2312" w:eastAsia="仿宋_GB2312" w:cs="仿宋_GB2312"/>
          <w:color w:val="000000"/>
          <w:sz w:val="30"/>
          <w:szCs w:val="30"/>
        </w:rPr>
        <w:t>.</w:t>
      </w:r>
      <w:r>
        <w:rPr>
          <w:rFonts w:hint="eastAsia" w:ascii="仿宋_GB2312" w:eastAsia="仿宋_GB2312" w:cs="仿宋_GB2312"/>
          <w:color w:val="000000"/>
          <w:sz w:val="30"/>
          <w:szCs w:val="30"/>
        </w:rPr>
        <w:t>费用：主营业务成本、其他业务成本、税金及附加、期间费用。</w:t>
      </w:r>
    </w:p>
    <w:p w14:paraId="737442B5">
      <w:pPr>
        <w:keepNext w:val="0"/>
        <w:keepLines w:val="0"/>
        <w:pageBreakBefore w:val="0"/>
        <w:widowControl w:val="0"/>
        <w:kinsoku/>
        <w:wordWrap/>
        <w:overflowPunct/>
        <w:topLinePunct w:val="0"/>
        <w:bidi w:val="0"/>
        <w:adjustRightInd w:val="0"/>
        <w:snapToGrid w:val="0"/>
        <w:spacing w:line="480" w:lineRule="exact"/>
        <w:ind w:firstLine="600" w:firstLineChars="200"/>
        <w:textAlignment w:val="auto"/>
        <w:rPr>
          <w:rFonts w:ascii="仿宋_GB2312" w:eastAsia="仿宋_GB2312"/>
          <w:color w:val="000000"/>
          <w:sz w:val="30"/>
          <w:szCs w:val="30"/>
        </w:rPr>
      </w:pPr>
      <w:r>
        <w:rPr>
          <w:rFonts w:ascii="仿宋_GB2312" w:eastAsia="仿宋_GB2312" w:cs="仿宋_GB2312"/>
          <w:color w:val="000000"/>
          <w:sz w:val="30"/>
          <w:szCs w:val="30"/>
        </w:rPr>
        <w:t>1</w:t>
      </w:r>
      <w:r>
        <w:rPr>
          <w:rFonts w:hint="eastAsia" w:ascii="仿宋_GB2312" w:eastAsia="仿宋_GB2312" w:cs="仿宋_GB2312"/>
          <w:color w:val="000000"/>
          <w:sz w:val="30"/>
          <w:szCs w:val="30"/>
        </w:rPr>
        <w:t>3</w:t>
      </w:r>
      <w:r>
        <w:rPr>
          <w:rFonts w:ascii="仿宋_GB2312" w:eastAsia="仿宋_GB2312" w:cs="仿宋_GB2312"/>
          <w:color w:val="000000"/>
          <w:sz w:val="30"/>
          <w:szCs w:val="30"/>
        </w:rPr>
        <w:t>.</w:t>
      </w:r>
      <w:r>
        <w:rPr>
          <w:rFonts w:hint="eastAsia" w:ascii="仿宋_GB2312" w:eastAsia="仿宋_GB2312" w:cs="仿宋_GB2312"/>
          <w:color w:val="000000"/>
          <w:sz w:val="30"/>
          <w:szCs w:val="30"/>
        </w:rPr>
        <w:t>利润：营业外收入、营业外支出、所得税费用、本年利润。</w:t>
      </w:r>
    </w:p>
    <w:p w14:paraId="18DD773F">
      <w:pPr>
        <w:keepNext w:val="0"/>
        <w:keepLines w:val="0"/>
        <w:pageBreakBefore w:val="0"/>
        <w:widowControl w:val="0"/>
        <w:kinsoku/>
        <w:wordWrap/>
        <w:overflowPunct/>
        <w:topLinePunct w:val="0"/>
        <w:bidi w:val="0"/>
        <w:adjustRightInd w:val="0"/>
        <w:snapToGrid w:val="0"/>
        <w:spacing w:line="480" w:lineRule="exact"/>
        <w:ind w:firstLine="600" w:firstLineChars="200"/>
        <w:textAlignment w:val="auto"/>
        <w:rPr>
          <w:rFonts w:ascii="仿宋_GB2312" w:eastAsia="仿宋_GB2312"/>
          <w:color w:val="000000"/>
          <w:sz w:val="30"/>
          <w:szCs w:val="30"/>
        </w:rPr>
      </w:pPr>
      <w:r>
        <w:rPr>
          <w:rFonts w:ascii="仿宋_GB2312" w:eastAsia="仿宋_GB2312" w:cs="仿宋_GB2312"/>
          <w:color w:val="000000"/>
          <w:sz w:val="30"/>
          <w:szCs w:val="30"/>
        </w:rPr>
        <w:t>1</w:t>
      </w:r>
      <w:r>
        <w:rPr>
          <w:rFonts w:hint="eastAsia" w:ascii="仿宋_GB2312" w:eastAsia="仿宋_GB2312" w:cs="仿宋_GB2312"/>
          <w:color w:val="000000"/>
          <w:sz w:val="30"/>
          <w:szCs w:val="30"/>
        </w:rPr>
        <w:t>4</w:t>
      </w:r>
      <w:r>
        <w:rPr>
          <w:rFonts w:ascii="仿宋_GB2312" w:eastAsia="仿宋_GB2312" w:cs="仿宋_GB2312"/>
          <w:color w:val="000000"/>
          <w:sz w:val="30"/>
          <w:szCs w:val="30"/>
        </w:rPr>
        <w:t>.</w:t>
      </w:r>
      <w:r>
        <w:rPr>
          <w:rFonts w:hint="eastAsia" w:ascii="仿宋_GB2312" w:eastAsia="仿宋_GB2312" w:cs="仿宋_GB2312"/>
          <w:color w:val="000000"/>
          <w:sz w:val="30"/>
          <w:szCs w:val="30"/>
        </w:rPr>
        <w:t>财务报表：资产负债表的编制、利润表的编制。</w:t>
      </w:r>
    </w:p>
    <w:p w14:paraId="102FD63C">
      <w:pPr>
        <w:keepNext w:val="0"/>
        <w:keepLines w:val="0"/>
        <w:pageBreakBefore w:val="0"/>
        <w:widowControl w:val="0"/>
        <w:kinsoku/>
        <w:wordWrap/>
        <w:overflowPunct/>
        <w:topLinePunct w:val="0"/>
        <w:bidi w:val="0"/>
        <w:adjustRightInd w:val="0"/>
        <w:snapToGrid w:val="0"/>
        <w:spacing w:line="480" w:lineRule="exact"/>
        <w:ind w:firstLine="600" w:firstLineChars="200"/>
        <w:textAlignment w:val="auto"/>
        <w:rPr>
          <w:rFonts w:ascii="仿宋_GB2312" w:eastAsia="仿宋_GB2312"/>
          <w:color w:val="000000"/>
          <w:sz w:val="30"/>
          <w:szCs w:val="30"/>
        </w:rPr>
      </w:pPr>
      <w:r>
        <w:rPr>
          <w:rFonts w:ascii="仿宋_GB2312" w:eastAsia="仿宋_GB2312" w:cs="仿宋_GB2312"/>
          <w:color w:val="000000"/>
          <w:sz w:val="30"/>
          <w:szCs w:val="30"/>
        </w:rPr>
        <w:t>1</w:t>
      </w:r>
      <w:r>
        <w:rPr>
          <w:rFonts w:hint="eastAsia" w:ascii="仿宋_GB2312" w:eastAsia="仿宋_GB2312" w:cs="仿宋_GB2312"/>
          <w:color w:val="000000"/>
          <w:sz w:val="30"/>
          <w:szCs w:val="30"/>
        </w:rPr>
        <w:t>5</w:t>
      </w:r>
      <w:r>
        <w:rPr>
          <w:rFonts w:ascii="仿宋_GB2312" w:eastAsia="仿宋_GB2312" w:cs="仿宋_GB2312"/>
          <w:color w:val="000000"/>
          <w:sz w:val="30"/>
          <w:szCs w:val="30"/>
        </w:rPr>
        <w:t>.</w:t>
      </w:r>
      <w:r>
        <w:rPr>
          <w:rFonts w:hint="eastAsia" w:ascii="仿宋_GB2312" w:eastAsia="仿宋_GB2312" w:cs="仿宋_GB2312"/>
          <w:color w:val="000000"/>
          <w:sz w:val="30"/>
          <w:szCs w:val="30"/>
        </w:rPr>
        <w:t>成本：要素费用的归集与分配、生产费用在完工产品与在产品之间的归集和分配、产品成本核算品种法。</w:t>
      </w:r>
    </w:p>
    <w:p w14:paraId="2003E279">
      <w:pPr>
        <w:keepNext w:val="0"/>
        <w:keepLines w:val="0"/>
        <w:pageBreakBefore w:val="0"/>
        <w:widowControl w:val="0"/>
        <w:kinsoku/>
        <w:wordWrap/>
        <w:overflowPunct/>
        <w:topLinePunct w:val="0"/>
        <w:bidi w:val="0"/>
        <w:adjustRightInd w:val="0"/>
        <w:snapToGrid w:val="0"/>
        <w:spacing w:line="480" w:lineRule="exact"/>
        <w:ind w:firstLine="600" w:firstLineChars="200"/>
        <w:textAlignment w:val="auto"/>
        <w:rPr>
          <w:rFonts w:ascii="仿宋_GB2312" w:eastAsia="仿宋_GB2312"/>
          <w:color w:val="000000"/>
          <w:sz w:val="30"/>
          <w:szCs w:val="30"/>
        </w:rPr>
      </w:pPr>
      <w:r>
        <w:rPr>
          <w:rFonts w:ascii="仿宋_GB2312" w:eastAsia="仿宋_GB2312" w:cs="仿宋_GB2312"/>
          <w:color w:val="000000"/>
          <w:sz w:val="30"/>
          <w:szCs w:val="30"/>
        </w:rPr>
        <w:t>1</w:t>
      </w:r>
      <w:r>
        <w:rPr>
          <w:rFonts w:hint="eastAsia" w:ascii="仿宋_GB2312" w:eastAsia="仿宋_GB2312" w:cs="仿宋_GB2312"/>
          <w:color w:val="000000"/>
          <w:sz w:val="30"/>
          <w:szCs w:val="30"/>
        </w:rPr>
        <w:t>6</w:t>
      </w:r>
      <w:r>
        <w:rPr>
          <w:rFonts w:ascii="仿宋_GB2312" w:eastAsia="仿宋_GB2312" w:cs="仿宋_GB2312"/>
          <w:color w:val="000000"/>
          <w:sz w:val="30"/>
          <w:szCs w:val="30"/>
        </w:rPr>
        <w:t>.</w:t>
      </w:r>
      <w:r>
        <w:rPr>
          <w:rFonts w:hint="eastAsia" w:ascii="仿宋_GB2312" w:eastAsia="仿宋_GB2312" w:cs="仿宋_GB2312"/>
          <w:color w:val="000000"/>
          <w:sz w:val="30"/>
          <w:szCs w:val="30"/>
        </w:rPr>
        <w:t>纳税申报</w:t>
      </w:r>
      <w:r>
        <w:rPr>
          <w:rFonts w:hint="eastAsia" w:ascii="仿宋_GB2312" w:eastAsia="仿宋_GB2312" w:cs="仿宋_GB2312"/>
          <w:color w:val="000000"/>
          <w:sz w:val="30"/>
          <w:szCs w:val="30"/>
          <w:lang w:val="en-US" w:eastAsia="zh-CN"/>
        </w:rPr>
        <w:t>与电子发票</w:t>
      </w:r>
      <w:r>
        <w:rPr>
          <w:rFonts w:ascii="仿宋_GB2312" w:eastAsia="仿宋_GB2312" w:cs="仿宋_GB2312"/>
          <w:color w:val="000000"/>
          <w:sz w:val="30"/>
          <w:szCs w:val="30"/>
        </w:rPr>
        <w:t>:</w:t>
      </w:r>
      <w:r>
        <w:rPr>
          <w:rFonts w:hint="eastAsia" w:ascii="仿宋_GB2312" w:eastAsia="仿宋_GB2312" w:cs="仿宋_GB2312"/>
          <w:color w:val="000000"/>
          <w:sz w:val="30"/>
          <w:szCs w:val="30"/>
        </w:rPr>
        <w:t>防伪税控开票、增值税及附加税费纳税申报、企业所得税纳税申报。</w:t>
      </w:r>
    </w:p>
    <w:p w14:paraId="781917A6">
      <w:pPr>
        <w:keepNext w:val="0"/>
        <w:keepLines w:val="0"/>
        <w:pageBreakBefore w:val="0"/>
        <w:widowControl w:val="0"/>
        <w:kinsoku/>
        <w:wordWrap/>
        <w:overflowPunct/>
        <w:topLinePunct w:val="0"/>
        <w:bidi w:val="0"/>
        <w:adjustRightInd w:val="0"/>
        <w:snapToGrid w:val="0"/>
        <w:spacing w:line="480" w:lineRule="exact"/>
        <w:ind w:firstLine="600" w:firstLineChars="200"/>
        <w:textAlignment w:val="auto"/>
        <w:rPr>
          <w:rFonts w:ascii="黑体" w:hAnsi="黑体" w:eastAsia="黑体"/>
          <w:color w:val="000000"/>
          <w:sz w:val="30"/>
          <w:szCs w:val="30"/>
        </w:rPr>
      </w:pPr>
      <w:r>
        <w:rPr>
          <w:rFonts w:hint="eastAsia" w:ascii="黑体" w:hAnsi="黑体" w:eastAsia="黑体" w:cs="黑体"/>
          <w:color w:val="000000"/>
          <w:sz w:val="30"/>
          <w:szCs w:val="30"/>
          <w:lang w:val="en-US" w:eastAsia="zh-CN"/>
        </w:rPr>
        <w:t>三</w:t>
      </w:r>
      <w:r>
        <w:rPr>
          <w:rFonts w:hint="eastAsia" w:ascii="黑体" w:hAnsi="黑体" w:eastAsia="黑体" w:cs="黑体"/>
          <w:color w:val="000000"/>
          <w:sz w:val="30"/>
          <w:szCs w:val="30"/>
        </w:rPr>
        <w:t>、竞赛方式</w:t>
      </w:r>
    </w:p>
    <w:p w14:paraId="61482955">
      <w:pPr>
        <w:keepNext w:val="0"/>
        <w:keepLines w:val="0"/>
        <w:pageBreakBefore w:val="0"/>
        <w:widowControl w:val="0"/>
        <w:kinsoku/>
        <w:wordWrap/>
        <w:overflowPunct/>
        <w:topLinePunct w:val="0"/>
        <w:bidi w:val="0"/>
        <w:adjustRightInd w:val="0"/>
        <w:snapToGrid w:val="0"/>
        <w:spacing w:line="480" w:lineRule="exact"/>
        <w:ind w:firstLine="600" w:firstLineChars="200"/>
        <w:textAlignment w:val="auto"/>
        <w:rPr>
          <w:rFonts w:hint="eastAsia" w:ascii="仿宋_GB2312" w:hAnsi="Times New Roman" w:eastAsia="仿宋_GB2312" w:cs="仿宋_GB2312"/>
          <w:color w:val="000000"/>
          <w:kern w:val="2"/>
          <w:sz w:val="30"/>
          <w:szCs w:val="30"/>
          <w:lang w:eastAsia="zh-CN"/>
        </w:rPr>
      </w:pPr>
      <w:r>
        <w:rPr>
          <w:rFonts w:hint="eastAsia" w:ascii="仿宋_GB2312" w:hAnsi="Times New Roman" w:eastAsia="仿宋_GB2312" w:cs="仿宋_GB2312"/>
          <w:color w:val="000000"/>
          <w:kern w:val="2"/>
          <w:sz w:val="30"/>
          <w:szCs w:val="30"/>
          <w:lang w:eastAsia="zh-CN"/>
        </w:rPr>
        <w:t>本赛项为团队赛。</w:t>
      </w:r>
    </w:p>
    <w:p w14:paraId="2D396492">
      <w:pPr>
        <w:keepNext w:val="0"/>
        <w:keepLines w:val="0"/>
        <w:pageBreakBefore w:val="0"/>
        <w:widowControl w:val="0"/>
        <w:numPr>
          <w:ilvl w:val="0"/>
          <w:numId w:val="1"/>
        </w:numPr>
        <w:kinsoku/>
        <w:wordWrap/>
        <w:overflowPunct/>
        <w:topLinePunct w:val="0"/>
        <w:bidi w:val="0"/>
        <w:adjustRightInd w:val="0"/>
        <w:snapToGrid w:val="0"/>
        <w:spacing w:line="480" w:lineRule="exact"/>
        <w:ind w:firstLine="600" w:firstLineChars="200"/>
        <w:textAlignment w:val="auto"/>
        <w:rPr>
          <w:rFonts w:hint="eastAsia" w:ascii="黑体" w:hAnsi="黑体" w:eastAsia="黑体" w:cs="黑体"/>
          <w:color w:val="000000"/>
          <w:sz w:val="30"/>
          <w:szCs w:val="30"/>
          <w:lang w:val="en-US" w:eastAsia="zh-CN"/>
        </w:rPr>
      </w:pPr>
      <w:r>
        <w:rPr>
          <w:rFonts w:hint="eastAsia" w:ascii="黑体" w:hAnsi="黑体" w:eastAsia="黑体" w:cs="黑体"/>
          <w:color w:val="000000"/>
          <w:sz w:val="30"/>
          <w:szCs w:val="30"/>
          <w:lang w:val="en-US" w:eastAsia="zh-CN"/>
        </w:rPr>
        <w:t>竞赛时间</w:t>
      </w:r>
    </w:p>
    <w:p w14:paraId="0BFB17A2">
      <w:pPr>
        <w:keepNext w:val="0"/>
        <w:keepLines w:val="0"/>
        <w:pageBreakBefore w:val="0"/>
        <w:widowControl w:val="0"/>
        <w:numPr>
          <w:ilvl w:val="0"/>
          <w:numId w:val="0"/>
        </w:numPr>
        <w:kinsoku/>
        <w:wordWrap/>
        <w:overflowPunct/>
        <w:topLinePunct w:val="0"/>
        <w:bidi w:val="0"/>
        <w:adjustRightInd w:val="0"/>
        <w:snapToGrid w:val="0"/>
        <w:spacing w:line="480" w:lineRule="exact"/>
        <w:ind w:firstLine="600" w:firstLineChars="200"/>
        <w:textAlignment w:val="auto"/>
        <w:rPr>
          <w:rFonts w:hint="eastAsia" w:ascii="仿宋_GB2312" w:hAnsi="Times New Roman" w:eastAsia="仿宋_GB2312" w:cs="仿宋_GB2312"/>
          <w:color w:val="000000"/>
          <w:kern w:val="2"/>
          <w:sz w:val="24"/>
          <w:szCs w:val="24"/>
          <w:lang w:val="en-US" w:eastAsia="zh-CN"/>
        </w:rPr>
      </w:pPr>
      <w:r>
        <w:rPr>
          <w:rFonts w:hint="eastAsia" w:ascii="仿宋_GB2312" w:hAnsi="Times New Roman" w:eastAsia="仿宋_GB2312" w:cs="仿宋_GB2312"/>
          <w:color w:val="000000"/>
          <w:kern w:val="2"/>
          <w:sz w:val="30"/>
          <w:szCs w:val="30"/>
          <w:lang w:eastAsia="zh-CN"/>
        </w:rPr>
        <w:t>本赛项</w:t>
      </w:r>
      <w:r>
        <w:rPr>
          <w:rFonts w:hint="eastAsia" w:ascii="仿宋_GB2312" w:hAnsi="Times New Roman" w:eastAsia="仿宋_GB2312" w:cs="仿宋_GB2312"/>
          <w:color w:val="000000"/>
          <w:kern w:val="2"/>
          <w:sz w:val="30"/>
          <w:szCs w:val="30"/>
          <w:lang w:val="en-US" w:eastAsia="zh-CN"/>
        </w:rPr>
        <w:t>比赛时间为180分钟。详见表1。</w:t>
      </w:r>
    </w:p>
    <w:p w14:paraId="181167C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600" w:firstLineChars="200"/>
        <w:jc w:val="center"/>
        <w:textAlignment w:val="auto"/>
        <w:rPr>
          <w:rFonts w:hint="default" w:ascii="仿宋_GB2312" w:hAnsi="Times New Roman" w:eastAsia="仿宋_GB2312" w:cs="仿宋_GB2312"/>
          <w:color w:val="000000"/>
          <w:kern w:val="2"/>
          <w:sz w:val="30"/>
          <w:szCs w:val="30"/>
          <w:lang w:val="en-US" w:eastAsia="zh-CN"/>
        </w:rPr>
      </w:pPr>
      <w:r>
        <w:rPr>
          <w:rFonts w:hint="eastAsia" w:ascii="仿宋_GB2312" w:hAnsi="Times New Roman" w:eastAsia="仿宋_GB2312" w:cs="仿宋_GB2312"/>
          <w:color w:val="000000"/>
          <w:kern w:val="2"/>
          <w:sz w:val="30"/>
          <w:szCs w:val="30"/>
          <w:lang w:val="en-US" w:eastAsia="zh-CN"/>
        </w:rPr>
        <w:t>表1 竞赛时间安排表（以正式公布的赛项指南为准）</w:t>
      </w:r>
    </w:p>
    <w:tbl>
      <w:tblPr>
        <w:tblStyle w:val="6"/>
        <w:tblpPr w:leftFromText="180" w:rightFromText="180" w:vertAnchor="text" w:tblpXSpec="center" w:tblpY="1"/>
        <w:tblOverlap w:val="never"/>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540"/>
        <w:gridCol w:w="2402"/>
        <w:gridCol w:w="3100"/>
        <w:gridCol w:w="1271"/>
      </w:tblGrid>
      <w:tr w14:paraId="152B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14:paraId="24C94A5C">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日期</w:t>
            </w:r>
          </w:p>
        </w:tc>
        <w:tc>
          <w:tcPr>
            <w:tcW w:w="1540" w:type="dxa"/>
            <w:vAlign w:val="center"/>
          </w:tcPr>
          <w:p w14:paraId="4F12E3AF">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时间</w:t>
            </w:r>
          </w:p>
        </w:tc>
        <w:tc>
          <w:tcPr>
            <w:tcW w:w="2402" w:type="dxa"/>
            <w:vAlign w:val="center"/>
          </w:tcPr>
          <w:p w14:paraId="28142130">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事项</w:t>
            </w:r>
          </w:p>
        </w:tc>
        <w:tc>
          <w:tcPr>
            <w:tcW w:w="3100" w:type="dxa"/>
            <w:vAlign w:val="center"/>
          </w:tcPr>
          <w:p w14:paraId="21D5180B">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参加人员</w:t>
            </w:r>
          </w:p>
        </w:tc>
        <w:tc>
          <w:tcPr>
            <w:tcW w:w="1271" w:type="dxa"/>
            <w:vAlign w:val="center"/>
          </w:tcPr>
          <w:p w14:paraId="6C7FEB9C">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地点</w:t>
            </w:r>
          </w:p>
        </w:tc>
      </w:tr>
      <w:tr w14:paraId="2DB3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restart"/>
            <w:vAlign w:val="center"/>
          </w:tcPr>
          <w:p w14:paraId="595912B3">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竞赛日</w:t>
            </w:r>
          </w:p>
        </w:tc>
        <w:tc>
          <w:tcPr>
            <w:tcW w:w="1540" w:type="dxa"/>
            <w:vAlign w:val="center"/>
          </w:tcPr>
          <w:p w14:paraId="122F2A60">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06:30-07:30</w:t>
            </w:r>
          </w:p>
        </w:tc>
        <w:tc>
          <w:tcPr>
            <w:tcW w:w="2402" w:type="dxa"/>
            <w:vAlign w:val="center"/>
          </w:tcPr>
          <w:p w14:paraId="6FA434D8">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参赛队报到</w:t>
            </w:r>
          </w:p>
        </w:tc>
        <w:tc>
          <w:tcPr>
            <w:tcW w:w="3100" w:type="dxa"/>
            <w:vAlign w:val="center"/>
          </w:tcPr>
          <w:p w14:paraId="6C36699D">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工作人员、参赛队</w:t>
            </w:r>
          </w:p>
        </w:tc>
        <w:tc>
          <w:tcPr>
            <w:tcW w:w="1271" w:type="dxa"/>
            <w:vAlign w:val="center"/>
          </w:tcPr>
          <w:p w14:paraId="5FEF8005">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报告厅</w:t>
            </w:r>
          </w:p>
        </w:tc>
      </w:tr>
      <w:tr w14:paraId="1259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center"/>
          </w:tcPr>
          <w:p w14:paraId="1C080FD6">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c>
          <w:tcPr>
            <w:tcW w:w="1540" w:type="dxa"/>
            <w:vAlign w:val="center"/>
          </w:tcPr>
          <w:p w14:paraId="1819FE4B">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08:00-08:20</w:t>
            </w:r>
          </w:p>
        </w:tc>
        <w:tc>
          <w:tcPr>
            <w:tcW w:w="2402" w:type="dxa"/>
            <w:vAlign w:val="center"/>
          </w:tcPr>
          <w:p w14:paraId="0038CC3B">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选手检录、抽签</w:t>
            </w:r>
          </w:p>
        </w:tc>
        <w:tc>
          <w:tcPr>
            <w:tcW w:w="3100" w:type="dxa"/>
            <w:vAlign w:val="center"/>
          </w:tcPr>
          <w:p w14:paraId="3DF273F9">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工作人员、参赛选手</w:t>
            </w:r>
          </w:p>
        </w:tc>
        <w:tc>
          <w:tcPr>
            <w:tcW w:w="1271" w:type="dxa"/>
            <w:vAlign w:val="center"/>
          </w:tcPr>
          <w:p w14:paraId="4E6FFCEC">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检录区域</w:t>
            </w:r>
          </w:p>
        </w:tc>
      </w:tr>
      <w:tr w14:paraId="35EF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center"/>
          </w:tcPr>
          <w:p w14:paraId="311C705C">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c>
          <w:tcPr>
            <w:tcW w:w="1540" w:type="dxa"/>
            <w:vAlign w:val="center"/>
          </w:tcPr>
          <w:p w14:paraId="1A16084D">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08:20-08:40</w:t>
            </w:r>
          </w:p>
        </w:tc>
        <w:tc>
          <w:tcPr>
            <w:tcW w:w="2402" w:type="dxa"/>
            <w:vAlign w:val="center"/>
          </w:tcPr>
          <w:p w14:paraId="4A70E40A">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选手入场、赛前准备</w:t>
            </w:r>
          </w:p>
        </w:tc>
        <w:tc>
          <w:tcPr>
            <w:tcW w:w="3100" w:type="dxa"/>
            <w:vAlign w:val="center"/>
          </w:tcPr>
          <w:p w14:paraId="1C9A7CB7">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参赛选手</w:t>
            </w:r>
          </w:p>
        </w:tc>
        <w:tc>
          <w:tcPr>
            <w:tcW w:w="1271" w:type="dxa"/>
            <w:vAlign w:val="center"/>
          </w:tcPr>
          <w:p w14:paraId="4E9498F9">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检录区域</w:t>
            </w:r>
          </w:p>
        </w:tc>
      </w:tr>
      <w:tr w14:paraId="6070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center"/>
          </w:tcPr>
          <w:p w14:paraId="2D610CBE">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c>
          <w:tcPr>
            <w:tcW w:w="1540" w:type="dxa"/>
            <w:vAlign w:val="center"/>
          </w:tcPr>
          <w:p w14:paraId="79A13B46">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08:40-11:40</w:t>
            </w:r>
          </w:p>
        </w:tc>
        <w:tc>
          <w:tcPr>
            <w:tcW w:w="2402" w:type="dxa"/>
            <w:vAlign w:val="center"/>
          </w:tcPr>
          <w:p w14:paraId="05C52552">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企业云数字服务比赛</w:t>
            </w:r>
          </w:p>
        </w:tc>
        <w:tc>
          <w:tcPr>
            <w:tcW w:w="3100" w:type="dxa"/>
            <w:vAlign w:val="center"/>
          </w:tcPr>
          <w:p w14:paraId="74072E7C">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参赛选手、裁判</w:t>
            </w:r>
          </w:p>
        </w:tc>
        <w:tc>
          <w:tcPr>
            <w:tcW w:w="1271" w:type="dxa"/>
            <w:vAlign w:val="center"/>
          </w:tcPr>
          <w:p w14:paraId="633CDF86">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竞赛场地</w:t>
            </w:r>
          </w:p>
        </w:tc>
      </w:tr>
      <w:tr w14:paraId="6E4C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center"/>
          </w:tcPr>
          <w:p w14:paraId="3700F55E">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c>
          <w:tcPr>
            <w:tcW w:w="1540" w:type="dxa"/>
            <w:shd w:val="clear" w:color="auto" w:fill="auto"/>
            <w:vAlign w:val="center"/>
          </w:tcPr>
          <w:p w14:paraId="0D56AC3F">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11:20-11:40</w:t>
            </w:r>
          </w:p>
        </w:tc>
        <w:tc>
          <w:tcPr>
            <w:tcW w:w="2402" w:type="dxa"/>
            <w:shd w:val="clear" w:color="auto" w:fill="auto"/>
            <w:vAlign w:val="center"/>
          </w:tcPr>
          <w:p w14:paraId="487A090F">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选手检录、抽签</w:t>
            </w:r>
          </w:p>
        </w:tc>
        <w:tc>
          <w:tcPr>
            <w:tcW w:w="3100" w:type="dxa"/>
            <w:shd w:val="clear" w:color="auto" w:fill="auto"/>
            <w:vAlign w:val="center"/>
          </w:tcPr>
          <w:p w14:paraId="725A8D76">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工作人员、参赛选手</w:t>
            </w:r>
          </w:p>
        </w:tc>
        <w:tc>
          <w:tcPr>
            <w:tcW w:w="1271" w:type="dxa"/>
            <w:shd w:val="clear" w:color="auto" w:fill="auto"/>
            <w:vAlign w:val="center"/>
          </w:tcPr>
          <w:p w14:paraId="0D94F7F5">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检录区域</w:t>
            </w:r>
          </w:p>
        </w:tc>
      </w:tr>
      <w:tr w14:paraId="72E1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center"/>
          </w:tcPr>
          <w:p w14:paraId="22E6C02D">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c>
          <w:tcPr>
            <w:tcW w:w="1540" w:type="dxa"/>
            <w:shd w:val="clear" w:color="auto" w:fill="auto"/>
            <w:vAlign w:val="center"/>
          </w:tcPr>
          <w:p w14:paraId="2F4046B5">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12:00-12:20</w:t>
            </w:r>
          </w:p>
        </w:tc>
        <w:tc>
          <w:tcPr>
            <w:tcW w:w="2402" w:type="dxa"/>
            <w:shd w:val="clear" w:color="auto" w:fill="auto"/>
            <w:vAlign w:val="center"/>
          </w:tcPr>
          <w:p w14:paraId="5162A704">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选手入场、赛前准备</w:t>
            </w:r>
          </w:p>
        </w:tc>
        <w:tc>
          <w:tcPr>
            <w:tcW w:w="3100" w:type="dxa"/>
            <w:shd w:val="clear" w:color="auto" w:fill="auto"/>
            <w:vAlign w:val="center"/>
          </w:tcPr>
          <w:p w14:paraId="7086360C">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参赛选手</w:t>
            </w:r>
          </w:p>
        </w:tc>
        <w:tc>
          <w:tcPr>
            <w:tcW w:w="1271" w:type="dxa"/>
            <w:shd w:val="clear" w:color="auto" w:fill="auto"/>
            <w:vAlign w:val="center"/>
          </w:tcPr>
          <w:p w14:paraId="4E56FB65">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检录区域</w:t>
            </w:r>
          </w:p>
        </w:tc>
      </w:tr>
      <w:tr w14:paraId="24EC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center"/>
          </w:tcPr>
          <w:p w14:paraId="6FE450A7">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c>
          <w:tcPr>
            <w:tcW w:w="1540" w:type="dxa"/>
            <w:shd w:val="clear" w:color="auto" w:fill="auto"/>
            <w:vAlign w:val="center"/>
          </w:tcPr>
          <w:p w14:paraId="003BE494">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12:20-15:20</w:t>
            </w:r>
          </w:p>
        </w:tc>
        <w:tc>
          <w:tcPr>
            <w:tcW w:w="2402" w:type="dxa"/>
            <w:shd w:val="clear" w:color="auto" w:fill="auto"/>
            <w:vAlign w:val="center"/>
          </w:tcPr>
          <w:p w14:paraId="0B46D6F7">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企业云数字服务比赛</w:t>
            </w:r>
          </w:p>
        </w:tc>
        <w:tc>
          <w:tcPr>
            <w:tcW w:w="3100" w:type="dxa"/>
            <w:shd w:val="clear" w:color="auto" w:fill="auto"/>
            <w:vAlign w:val="center"/>
          </w:tcPr>
          <w:p w14:paraId="3A065142">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参赛选手、裁判</w:t>
            </w:r>
          </w:p>
        </w:tc>
        <w:tc>
          <w:tcPr>
            <w:tcW w:w="1271" w:type="dxa"/>
            <w:shd w:val="clear" w:color="auto" w:fill="auto"/>
            <w:vAlign w:val="center"/>
          </w:tcPr>
          <w:p w14:paraId="593F4728">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竞赛场地</w:t>
            </w:r>
          </w:p>
        </w:tc>
      </w:tr>
      <w:tr w14:paraId="58E8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center"/>
          </w:tcPr>
          <w:p w14:paraId="3E42F3CF">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c>
          <w:tcPr>
            <w:tcW w:w="1540" w:type="dxa"/>
            <w:shd w:val="clear" w:color="auto" w:fill="auto"/>
            <w:vAlign w:val="center"/>
          </w:tcPr>
          <w:p w14:paraId="60AEFD03">
            <w:pPr>
              <w:keepNext w:val="0"/>
              <w:keepLines w:val="0"/>
              <w:widowControl/>
              <w:suppressLineNumbers w:val="0"/>
              <w:jc w:val="center"/>
              <w:rPr>
                <w:rFonts w:hint="default" w:ascii="仿宋" w:hAnsi="仿宋" w:eastAsia="仿宋" w:cs="仿宋"/>
                <w:color w:val="000000"/>
                <w:kern w:val="0"/>
                <w:sz w:val="24"/>
                <w:szCs w:val="24"/>
                <w:lang w:val="en-US" w:eastAsia="zh-CN" w:bidi="ar"/>
              </w:rPr>
            </w:pPr>
          </w:p>
        </w:tc>
        <w:tc>
          <w:tcPr>
            <w:tcW w:w="2402" w:type="dxa"/>
            <w:shd w:val="clear" w:color="auto" w:fill="auto"/>
            <w:vAlign w:val="center"/>
          </w:tcPr>
          <w:p w14:paraId="7CDDE7B8">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3100" w:type="dxa"/>
            <w:shd w:val="clear" w:color="auto" w:fill="auto"/>
            <w:vAlign w:val="center"/>
          </w:tcPr>
          <w:p w14:paraId="2BE1D93B">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271" w:type="dxa"/>
            <w:shd w:val="clear" w:color="auto" w:fill="auto"/>
            <w:vAlign w:val="center"/>
          </w:tcPr>
          <w:p w14:paraId="552E0000">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bl>
    <w:p w14:paraId="328A3694">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firstLine="600" w:firstLineChars="200"/>
        <w:textAlignment w:val="auto"/>
        <w:rPr>
          <w:rFonts w:hint="eastAsia" w:ascii="黑体" w:hAnsi="黑体" w:eastAsia="黑体" w:cs="黑体"/>
          <w:color w:val="000000"/>
          <w:sz w:val="30"/>
          <w:szCs w:val="30"/>
          <w:lang w:val="en-US" w:eastAsia="zh-CN"/>
        </w:rPr>
      </w:pPr>
      <w:r>
        <w:rPr>
          <w:rFonts w:hint="eastAsia" w:ascii="黑体" w:hAnsi="黑体" w:eastAsia="黑体" w:cs="黑体"/>
          <w:color w:val="000000"/>
          <w:sz w:val="30"/>
          <w:szCs w:val="30"/>
          <w:lang w:val="en-US" w:eastAsia="zh-CN"/>
        </w:rPr>
        <w:t>竞赛规则</w:t>
      </w:r>
    </w:p>
    <w:p w14:paraId="10658841">
      <w:pPr>
        <w:keepNext w:val="0"/>
        <w:keepLines w:val="0"/>
        <w:pageBreakBefore w:val="0"/>
        <w:widowControl w:val="0"/>
        <w:kinsoku/>
        <w:wordWrap/>
        <w:overflowPunct/>
        <w:topLinePunct w:val="0"/>
        <w:autoSpaceDE/>
        <w:autoSpaceDN/>
        <w:bidi w:val="0"/>
        <w:adjustRightInd w:val="0"/>
        <w:snapToGrid w:val="0"/>
        <w:spacing w:line="480" w:lineRule="exact"/>
        <w:ind w:firstLine="602" w:firstLineChars="200"/>
        <w:textAlignment w:val="auto"/>
        <w:rPr>
          <w:rFonts w:ascii="仿宋_GB2312" w:eastAsia="仿宋_GB2312"/>
          <w:b/>
          <w:bCs/>
          <w:color w:val="000000"/>
          <w:sz w:val="30"/>
          <w:szCs w:val="30"/>
        </w:rPr>
      </w:pPr>
      <w:r>
        <w:rPr>
          <w:rFonts w:hint="eastAsia" w:ascii="仿宋_GB2312" w:eastAsia="仿宋_GB2312" w:cs="仿宋_GB2312"/>
          <w:b/>
          <w:bCs/>
          <w:color w:val="000000"/>
          <w:sz w:val="30"/>
          <w:szCs w:val="30"/>
        </w:rPr>
        <w:t>（一）竞赛项目规则</w:t>
      </w:r>
    </w:p>
    <w:p w14:paraId="2EBDDC7E">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left"/>
        <w:textAlignment w:val="auto"/>
        <w:rPr>
          <w:rFonts w:hint="default" w:ascii="仿宋_GB2312" w:eastAsia="仿宋_GB2312"/>
          <w:color w:val="auto"/>
          <w:sz w:val="30"/>
          <w:szCs w:val="30"/>
          <w:highlight w:val="none"/>
          <w:lang w:val="en-US" w:eastAsia="zh-CN"/>
        </w:rPr>
      </w:pPr>
      <w:r>
        <w:rPr>
          <w:rFonts w:ascii="仿宋_GB2312" w:eastAsia="仿宋_GB2312" w:cs="仿宋_GB2312"/>
          <w:color w:val="auto"/>
          <w:sz w:val="30"/>
          <w:szCs w:val="30"/>
          <w:highlight w:val="none"/>
        </w:rPr>
        <w:t>1.</w:t>
      </w:r>
      <w:r>
        <w:rPr>
          <w:rFonts w:hint="eastAsia" w:ascii="仿宋_GB2312" w:eastAsia="仿宋_GB2312" w:cs="仿宋_GB2312"/>
          <w:color w:val="auto"/>
          <w:sz w:val="30"/>
          <w:szCs w:val="30"/>
          <w:highlight w:val="none"/>
        </w:rPr>
        <w:t>本赛项为团队赛</w:t>
      </w:r>
      <w:r>
        <w:rPr>
          <w:rFonts w:hint="eastAsia" w:ascii="仿宋_GB2312" w:eastAsia="仿宋_GB2312" w:cs="仿宋_GB2312"/>
          <w:color w:val="auto"/>
          <w:sz w:val="30"/>
          <w:szCs w:val="30"/>
          <w:highlight w:val="none"/>
          <w:lang w:eastAsia="zh-CN"/>
        </w:rPr>
        <w:t>，</w:t>
      </w:r>
      <w:r>
        <w:rPr>
          <w:rFonts w:hint="eastAsia" w:ascii="仿宋_GB2312" w:eastAsia="仿宋_GB2312" w:cs="仿宋_GB2312"/>
          <w:color w:val="auto"/>
          <w:sz w:val="30"/>
          <w:szCs w:val="30"/>
          <w:highlight w:val="none"/>
          <w:lang w:val="en-US" w:eastAsia="zh-CN"/>
        </w:rPr>
        <w:t>不得跨校组队，每个学校学生组报名参赛队不超过2支。每支参赛队3名参赛选手，指导老师1-2人。教师赛报名参赛队不超过1支。每支参赛队2名参赛选手，不设指导老师。</w:t>
      </w:r>
    </w:p>
    <w:p w14:paraId="3B6752D3">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eastAsia="仿宋_GB2312"/>
          <w:color w:val="000000"/>
          <w:sz w:val="30"/>
          <w:szCs w:val="30"/>
        </w:rPr>
      </w:pPr>
      <w:r>
        <w:rPr>
          <w:rFonts w:ascii="仿宋_GB2312" w:eastAsia="仿宋_GB2312" w:cs="仿宋_GB2312"/>
          <w:color w:val="000000"/>
          <w:sz w:val="30"/>
          <w:szCs w:val="30"/>
        </w:rPr>
        <w:t>2.</w:t>
      </w:r>
      <w:r>
        <w:rPr>
          <w:rFonts w:hint="eastAsia" w:ascii="仿宋_GB2312" w:eastAsia="仿宋_GB2312" w:cs="仿宋_GB2312"/>
          <w:color w:val="000000"/>
          <w:sz w:val="30"/>
          <w:szCs w:val="30"/>
        </w:rPr>
        <w:t>参赛选手凭身份证、学生证参加竞赛及相关活动。</w:t>
      </w:r>
    </w:p>
    <w:p w14:paraId="35C0649C">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eastAsia="仿宋_GB2312"/>
          <w:color w:val="000000"/>
          <w:sz w:val="30"/>
          <w:szCs w:val="30"/>
        </w:rPr>
      </w:pPr>
      <w:r>
        <w:rPr>
          <w:rFonts w:ascii="仿宋_GB2312" w:eastAsia="仿宋_GB2312" w:cs="仿宋_GB2312"/>
          <w:color w:val="000000"/>
          <w:sz w:val="30"/>
          <w:szCs w:val="30"/>
        </w:rPr>
        <w:t>3.</w:t>
      </w:r>
      <w:r>
        <w:rPr>
          <w:rFonts w:hint="eastAsia" w:ascii="仿宋_GB2312" w:eastAsia="仿宋_GB2312" w:cs="仿宋_GB2312"/>
          <w:color w:val="000000"/>
          <w:sz w:val="30"/>
          <w:szCs w:val="30"/>
        </w:rPr>
        <w:t>参赛选手应严格遵守赛场纪律，服从指挥，着装整洁，仪表端庄，讲文明礼貌。各地代表队之间应团结、友好、协作，避免各种矛盾发生。</w:t>
      </w:r>
    </w:p>
    <w:p w14:paraId="1252DB7C">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eastAsia="仿宋_GB2312"/>
          <w:color w:val="000000"/>
          <w:sz w:val="30"/>
          <w:szCs w:val="30"/>
        </w:rPr>
      </w:pPr>
      <w:r>
        <w:rPr>
          <w:rFonts w:ascii="仿宋_GB2312" w:eastAsia="仿宋_GB2312" w:cs="仿宋_GB2312"/>
          <w:color w:val="000000"/>
          <w:sz w:val="30"/>
          <w:szCs w:val="30"/>
        </w:rPr>
        <w:t>4.</w:t>
      </w:r>
      <w:r>
        <w:rPr>
          <w:rFonts w:hint="eastAsia" w:ascii="仿宋_GB2312" w:eastAsia="仿宋_GB2312" w:cs="仿宋_GB2312"/>
          <w:color w:val="000000"/>
          <w:sz w:val="30"/>
          <w:szCs w:val="30"/>
        </w:rPr>
        <w:t>参赛队在比赛前一天由赛项执委会统一组织熟悉赛场。</w:t>
      </w:r>
    </w:p>
    <w:p w14:paraId="38A79DE9">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eastAsia="仿宋_GB2312"/>
          <w:color w:val="000000"/>
          <w:sz w:val="30"/>
          <w:szCs w:val="30"/>
        </w:rPr>
      </w:pPr>
      <w:r>
        <w:rPr>
          <w:rFonts w:ascii="仿宋_GB2312" w:eastAsia="仿宋_GB2312" w:cs="仿宋_GB2312"/>
          <w:color w:val="000000"/>
          <w:sz w:val="30"/>
          <w:szCs w:val="30"/>
        </w:rPr>
        <w:t>5.</w:t>
      </w:r>
      <w:r>
        <w:rPr>
          <w:rFonts w:hint="eastAsia" w:ascii="仿宋_GB2312" w:eastAsia="仿宋_GB2312" w:cs="仿宋_GB2312"/>
          <w:color w:val="000000"/>
          <w:sz w:val="30"/>
          <w:szCs w:val="30"/>
        </w:rPr>
        <w:t>参赛选手须提前</w:t>
      </w:r>
      <w:r>
        <w:rPr>
          <w:rFonts w:ascii="仿宋_GB2312" w:eastAsia="仿宋_GB2312" w:cs="仿宋_GB2312"/>
          <w:color w:val="000000"/>
          <w:sz w:val="30"/>
          <w:szCs w:val="30"/>
        </w:rPr>
        <w:t>20</w:t>
      </w:r>
      <w:r>
        <w:rPr>
          <w:rFonts w:hint="eastAsia" w:ascii="仿宋_GB2312" w:eastAsia="仿宋_GB2312" w:cs="仿宋_GB2312"/>
          <w:color w:val="000000"/>
          <w:sz w:val="30"/>
          <w:szCs w:val="30"/>
        </w:rPr>
        <w:t>分钟入场，入场出示身份证。不得私自携带任何软硬件工具（各种便携式电脑、各种移动存储设备等）、技术资源、通信工具。按工位号入座，检查比赛所需竞赛设备齐全后，由参赛选手签字确认方可开始比赛。迟到超过</w:t>
      </w:r>
      <w:r>
        <w:rPr>
          <w:rFonts w:ascii="仿宋_GB2312" w:eastAsia="仿宋_GB2312" w:cs="仿宋_GB2312"/>
          <w:color w:val="000000"/>
          <w:sz w:val="30"/>
          <w:szCs w:val="30"/>
        </w:rPr>
        <w:t>10</w:t>
      </w:r>
      <w:r>
        <w:rPr>
          <w:rFonts w:hint="eastAsia" w:ascii="仿宋_GB2312" w:eastAsia="仿宋_GB2312" w:cs="仿宋_GB2312"/>
          <w:color w:val="000000"/>
          <w:sz w:val="30"/>
          <w:szCs w:val="30"/>
        </w:rPr>
        <w:t>分钟的选手不得入场。竞赛期间不准出场，竞赛结束后方可离场。</w:t>
      </w:r>
    </w:p>
    <w:p w14:paraId="1100897C">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eastAsia="仿宋_GB2312"/>
          <w:color w:val="000000"/>
          <w:sz w:val="30"/>
          <w:szCs w:val="30"/>
        </w:rPr>
      </w:pPr>
      <w:r>
        <w:rPr>
          <w:rFonts w:ascii="仿宋_GB2312" w:eastAsia="仿宋_GB2312" w:cs="仿宋_GB2312"/>
          <w:color w:val="000000"/>
          <w:sz w:val="30"/>
          <w:szCs w:val="30"/>
        </w:rPr>
        <w:t>6.</w:t>
      </w:r>
      <w:r>
        <w:rPr>
          <w:rFonts w:hint="eastAsia" w:ascii="仿宋_GB2312" w:eastAsia="仿宋_GB2312" w:cs="仿宋_GB2312"/>
          <w:color w:val="000000"/>
          <w:sz w:val="30"/>
          <w:szCs w:val="30"/>
        </w:rPr>
        <w:t>竞赛过程中，每个参赛队内部成员不得互相沟通，不得向任何其他人员讨论问题，也不得向裁判、巡视员和其他必须进入考场的工作人员询问与竞赛项目的操作流程和操作方法有关的问题，如有竞赛题目文字不清、软硬件环境故障的问题时，可向裁判员询问，但不得影响到其他竞赛选手。</w:t>
      </w:r>
    </w:p>
    <w:p w14:paraId="311ADA83">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eastAsia="仿宋_GB2312"/>
          <w:color w:val="000000"/>
          <w:sz w:val="30"/>
          <w:szCs w:val="30"/>
        </w:rPr>
      </w:pPr>
      <w:r>
        <w:rPr>
          <w:rFonts w:ascii="仿宋_GB2312" w:eastAsia="仿宋_GB2312" w:cs="仿宋_GB2312"/>
          <w:color w:val="000000"/>
          <w:sz w:val="30"/>
          <w:szCs w:val="30"/>
        </w:rPr>
        <w:t>7.</w:t>
      </w:r>
      <w:r>
        <w:rPr>
          <w:rFonts w:hint="eastAsia" w:ascii="仿宋_GB2312" w:eastAsia="仿宋_GB2312" w:cs="仿宋_GB2312"/>
          <w:color w:val="000000"/>
          <w:sz w:val="30"/>
          <w:szCs w:val="30"/>
        </w:rPr>
        <w:t>竞赛过程中除裁判和其他必须进入考场的工作人员外，任何其他非竞赛选手不得进入竞赛场地。</w:t>
      </w:r>
    </w:p>
    <w:p w14:paraId="1CB6AAE7">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eastAsia="仿宋_GB2312"/>
          <w:color w:val="000000"/>
          <w:sz w:val="30"/>
          <w:szCs w:val="30"/>
        </w:rPr>
      </w:pPr>
      <w:r>
        <w:rPr>
          <w:rFonts w:ascii="仿宋_GB2312" w:eastAsia="仿宋_GB2312" w:cs="仿宋_GB2312"/>
          <w:color w:val="000000"/>
          <w:sz w:val="30"/>
          <w:szCs w:val="30"/>
        </w:rPr>
        <w:t>8.</w:t>
      </w:r>
      <w:r>
        <w:rPr>
          <w:rFonts w:hint="eastAsia" w:ascii="仿宋_GB2312" w:eastAsia="仿宋_GB2312" w:cs="仿宋_GB2312"/>
          <w:color w:val="000000"/>
          <w:sz w:val="30"/>
          <w:szCs w:val="30"/>
        </w:rPr>
        <w:t>竞赛结束（或提前完成）后，参赛选手要确认成功提交竞赛要求的文件，裁判员与选手本人一起签字确认，参赛队在确认后不得再进行任何操作。</w:t>
      </w:r>
    </w:p>
    <w:p w14:paraId="1F0D1C23">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eastAsia="仿宋_GB2312"/>
          <w:color w:val="000000"/>
          <w:sz w:val="30"/>
          <w:szCs w:val="30"/>
        </w:rPr>
      </w:pPr>
      <w:r>
        <w:rPr>
          <w:rFonts w:ascii="仿宋_GB2312" w:eastAsia="仿宋_GB2312" w:cs="仿宋_GB2312"/>
          <w:color w:val="000000"/>
          <w:sz w:val="30"/>
          <w:szCs w:val="30"/>
        </w:rPr>
        <w:t>9.</w:t>
      </w:r>
      <w:r>
        <w:rPr>
          <w:rFonts w:hint="eastAsia" w:ascii="仿宋_GB2312" w:eastAsia="仿宋_GB2312" w:cs="仿宋_GB2312"/>
          <w:color w:val="000000"/>
          <w:sz w:val="30"/>
          <w:szCs w:val="30"/>
        </w:rPr>
        <w:t>其它未尽事宜，将在竞赛指南或赛前说明会向各领队做详细说明。</w:t>
      </w:r>
    </w:p>
    <w:p w14:paraId="3C9A192F">
      <w:pPr>
        <w:keepNext w:val="0"/>
        <w:keepLines w:val="0"/>
        <w:pageBreakBefore w:val="0"/>
        <w:widowControl w:val="0"/>
        <w:kinsoku/>
        <w:wordWrap/>
        <w:overflowPunct/>
        <w:topLinePunct w:val="0"/>
        <w:autoSpaceDE/>
        <w:autoSpaceDN/>
        <w:bidi w:val="0"/>
        <w:adjustRightInd w:val="0"/>
        <w:snapToGrid w:val="0"/>
        <w:spacing w:line="480" w:lineRule="exact"/>
        <w:ind w:firstLine="602" w:firstLineChars="200"/>
        <w:textAlignment w:val="auto"/>
        <w:rPr>
          <w:rFonts w:ascii="仿宋_GB2312" w:eastAsia="仿宋_GB2312"/>
          <w:b/>
          <w:bCs/>
          <w:color w:val="000000"/>
          <w:sz w:val="30"/>
          <w:szCs w:val="30"/>
        </w:rPr>
      </w:pPr>
      <w:r>
        <w:rPr>
          <w:rFonts w:hint="eastAsia" w:ascii="仿宋_GB2312" w:eastAsia="仿宋_GB2312" w:cs="仿宋_GB2312"/>
          <w:b/>
          <w:bCs/>
          <w:color w:val="000000"/>
          <w:sz w:val="30"/>
          <w:szCs w:val="30"/>
        </w:rPr>
        <w:t>（二）赛项具体规则</w:t>
      </w:r>
    </w:p>
    <w:p w14:paraId="76398096">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eastAsia="仿宋_GB2312"/>
          <w:color w:val="000000"/>
          <w:sz w:val="30"/>
          <w:szCs w:val="30"/>
        </w:rPr>
      </w:pPr>
      <w:r>
        <w:rPr>
          <w:rFonts w:ascii="仿宋_GB2312" w:eastAsia="仿宋_GB2312" w:cs="仿宋_GB2312"/>
          <w:color w:val="000000"/>
          <w:sz w:val="30"/>
          <w:szCs w:val="30"/>
        </w:rPr>
        <w:t>1.</w:t>
      </w:r>
      <w:r>
        <w:rPr>
          <w:rFonts w:hint="eastAsia" w:ascii="仿宋_GB2312" w:eastAsia="仿宋_GB2312" w:cs="仿宋_GB2312"/>
          <w:color w:val="000000"/>
          <w:sz w:val="30"/>
          <w:szCs w:val="30"/>
        </w:rPr>
        <w:t>选手在工作人员的引导下进入考场，检查座位号与抽签号是否相符。在裁判人员指导下输入准考证号。待比赛命令发布后，方可开始答题，考试系统自动倒计时。</w:t>
      </w:r>
    </w:p>
    <w:p w14:paraId="4E3381D3">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eastAsia="仿宋_GB2312"/>
          <w:color w:val="000000"/>
          <w:sz w:val="30"/>
          <w:szCs w:val="30"/>
        </w:rPr>
      </w:pPr>
      <w:r>
        <w:rPr>
          <w:rFonts w:ascii="仿宋_GB2312" w:eastAsia="仿宋_GB2312" w:cs="仿宋_GB2312"/>
          <w:color w:val="000000"/>
          <w:sz w:val="30"/>
          <w:szCs w:val="30"/>
        </w:rPr>
        <w:t>2.</w:t>
      </w:r>
      <w:r>
        <w:rPr>
          <w:rFonts w:hint="eastAsia" w:ascii="仿宋_GB2312" w:eastAsia="仿宋_GB2312" w:cs="仿宋_GB2312"/>
          <w:color w:val="000000"/>
          <w:sz w:val="30"/>
          <w:szCs w:val="30"/>
        </w:rPr>
        <w:t>比赛开始后</w:t>
      </w:r>
      <w:r>
        <w:rPr>
          <w:rFonts w:ascii="仿宋_GB2312" w:eastAsia="仿宋_GB2312" w:cs="仿宋_GB2312"/>
          <w:color w:val="000000"/>
          <w:sz w:val="30"/>
          <w:szCs w:val="30"/>
        </w:rPr>
        <w:t>30</w:t>
      </w:r>
      <w:r>
        <w:rPr>
          <w:rFonts w:hint="eastAsia" w:ascii="仿宋_GB2312" w:eastAsia="仿宋_GB2312" w:cs="仿宋_GB2312"/>
          <w:color w:val="000000"/>
          <w:sz w:val="30"/>
          <w:szCs w:val="30"/>
        </w:rPr>
        <w:t>分钟内选手不得交卷。比赛只允许交卷一次，不能重复交卷，不能随意点击交卷退场按钮。</w:t>
      </w:r>
    </w:p>
    <w:p w14:paraId="2CE7E8B6">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eastAsia="仿宋_GB2312"/>
          <w:color w:val="000000"/>
          <w:sz w:val="30"/>
          <w:szCs w:val="30"/>
        </w:rPr>
      </w:pPr>
      <w:r>
        <w:rPr>
          <w:rFonts w:ascii="仿宋_GB2312" w:eastAsia="仿宋_GB2312" w:cs="仿宋_GB2312"/>
          <w:color w:val="000000"/>
          <w:sz w:val="30"/>
          <w:szCs w:val="30"/>
        </w:rPr>
        <w:t>3.</w:t>
      </w:r>
      <w:r>
        <w:rPr>
          <w:rFonts w:hint="eastAsia" w:ascii="仿宋_GB2312" w:eastAsia="仿宋_GB2312" w:cs="仿宋_GB2312"/>
          <w:color w:val="000000"/>
          <w:sz w:val="30"/>
          <w:szCs w:val="30"/>
        </w:rPr>
        <w:t>依据《小企业会计准则》、现行税法和财政部会计基础工作规范处理经济业务。</w:t>
      </w:r>
    </w:p>
    <w:p w14:paraId="1D24AEE9">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eastAsia="仿宋_GB2312"/>
          <w:color w:val="000000"/>
          <w:sz w:val="30"/>
          <w:szCs w:val="30"/>
        </w:rPr>
      </w:pPr>
      <w:r>
        <w:rPr>
          <w:rFonts w:ascii="仿宋_GB2312" w:eastAsia="仿宋_GB2312" w:cs="仿宋_GB2312"/>
          <w:color w:val="000000"/>
          <w:sz w:val="30"/>
          <w:szCs w:val="30"/>
        </w:rPr>
        <w:t>4.</w:t>
      </w:r>
      <w:r>
        <w:rPr>
          <w:rFonts w:hint="eastAsia" w:ascii="仿宋_GB2312" w:eastAsia="仿宋_GB2312" w:cs="仿宋_GB2312"/>
          <w:color w:val="000000"/>
          <w:sz w:val="30"/>
          <w:szCs w:val="30"/>
        </w:rPr>
        <w:t>按照比赛系统操作要求，完成初始设置、审核或填制原始凭证、编制记账凭证、审核记账凭证、记账、对账并结账、编制资产负债表和利润表、防伪税控开票、纳税申报</w:t>
      </w:r>
      <w:r>
        <w:rPr>
          <w:rFonts w:hint="eastAsia" w:ascii="仿宋_GB2312" w:eastAsia="仿宋_GB2312" w:cs="仿宋_GB2312"/>
          <w:color w:val="000000"/>
          <w:sz w:val="30"/>
          <w:szCs w:val="30"/>
          <w:lang w:val="en-US" w:eastAsia="zh-CN"/>
        </w:rPr>
        <w:t>与电子发票</w:t>
      </w:r>
      <w:r>
        <w:rPr>
          <w:rFonts w:hint="eastAsia" w:ascii="仿宋_GB2312" w:eastAsia="仿宋_GB2312" w:cs="仿宋_GB2312"/>
          <w:color w:val="000000"/>
          <w:sz w:val="30"/>
          <w:szCs w:val="30"/>
        </w:rPr>
        <w:t>等。</w:t>
      </w:r>
    </w:p>
    <w:p w14:paraId="4407C9F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600" w:firstLineChars="200"/>
        <w:textAlignment w:val="auto"/>
        <w:rPr>
          <w:rFonts w:hint="eastAsia" w:ascii="仿宋_GB2312" w:eastAsia="仿宋_GB2312" w:cs="仿宋_GB2312"/>
          <w:color w:val="000000"/>
          <w:sz w:val="30"/>
          <w:szCs w:val="30"/>
        </w:rPr>
      </w:pPr>
      <w:r>
        <w:rPr>
          <w:rFonts w:ascii="仿宋_GB2312" w:eastAsia="仿宋_GB2312" w:cs="仿宋_GB2312"/>
          <w:color w:val="000000"/>
          <w:sz w:val="30"/>
          <w:szCs w:val="30"/>
        </w:rPr>
        <w:t>5.</w:t>
      </w:r>
      <w:r>
        <w:rPr>
          <w:rFonts w:hint="eastAsia" w:ascii="仿宋_GB2312" w:eastAsia="仿宋_GB2312" w:cs="仿宋_GB2312"/>
          <w:color w:val="000000"/>
          <w:sz w:val="30"/>
          <w:szCs w:val="30"/>
        </w:rPr>
        <w:t>比赛结束时，将资料和工具整齐摆放在桌子上，经裁判人员确认后方可离开赛场，离开时不得带走任何资料。</w:t>
      </w:r>
    </w:p>
    <w:p w14:paraId="727DC42C">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黑体" w:hAnsi="黑体" w:eastAsia="黑体"/>
          <w:color w:val="000000"/>
          <w:sz w:val="30"/>
          <w:szCs w:val="30"/>
        </w:rPr>
      </w:pPr>
      <w:r>
        <w:rPr>
          <w:rFonts w:hint="eastAsia" w:ascii="黑体" w:hAnsi="黑体" w:eastAsia="黑体" w:cs="黑体"/>
          <w:color w:val="000000"/>
          <w:sz w:val="30"/>
          <w:szCs w:val="30"/>
          <w:lang w:val="en-US" w:eastAsia="zh-CN"/>
        </w:rPr>
        <w:t>六</w:t>
      </w:r>
      <w:r>
        <w:rPr>
          <w:rFonts w:hint="eastAsia" w:ascii="黑体" w:hAnsi="黑体" w:eastAsia="黑体" w:cs="黑体"/>
          <w:color w:val="000000"/>
          <w:sz w:val="30"/>
          <w:szCs w:val="30"/>
        </w:rPr>
        <w:t>、竞赛环境</w:t>
      </w:r>
    </w:p>
    <w:p w14:paraId="32C5E630">
      <w:pPr>
        <w:keepNext w:val="0"/>
        <w:keepLines w:val="0"/>
        <w:pageBreakBefore w:val="0"/>
        <w:widowControl w:val="0"/>
        <w:kinsoku/>
        <w:wordWrap/>
        <w:overflowPunct/>
        <w:topLinePunct w:val="0"/>
        <w:autoSpaceDE/>
        <w:autoSpaceDN/>
        <w:bidi w:val="0"/>
        <w:adjustRightInd w:val="0"/>
        <w:snapToGrid w:val="0"/>
        <w:spacing w:line="480" w:lineRule="exact"/>
        <w:ind w:firstLine="602" w:firstLineChars="200"/>
        <w:textAlignment w:val="auto"/>
        <w:rPr>
          <w:rFonts w:ascii="仿宋_GB2312" w:eastAsia="仿宋_GB2312"/>
          <w:b/>
          <w:bCs/>
          <w:color w:val="000000"/>
          <w:sz w:val="30"/>
          <w:szCs w:val="30"/>
        </w:rPr>
      </w:pPr>
      <w:r>
        <w:rPr>
          <w:rFonts w:hint="eastAsia" w:ascii="仿宋_GB2312" w:eastAsia="仿宋_GB2312" w:cs="仿宋_GB2312"/>
          <w:b/>
          <w:bCs/>
          <w:color w:val="000000"/>
          <w:sz w:val="30"/>
          <w:szCs w:val="30"/>
        </w:rPr>
        <w:t>（一）竞赛场地</w:t>
      </w:r>
    </w:p>
    <w:p w14:paraId="7BBBA83F">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eastAsia="仿宋_GB2312"/>
          <w:color w:val="000000"/>
          <w:sz w:val="30"/>
          <w:szCs w:val="30"/>
        </w:rPr>
      </w:pPr>
      <w:r>
        <w:rPr>
          <w:rFonts w:hint="eastAsia" w:ascii="仿宋_GB2312" w:eastAsia="仿宋_GB2312" w:cs="仿宋_GB2312"/>
          <w:color w:val="000000"/>
          <w:sz w:val="30"/>
          <w:szCs w:val="30"/>
        </w:rPr>
        <w:t>现场保证良好的采光、照明和通风；提供稳定的水、电和供电应急设备。同时提供所有指导教师休息室</w:t>
      </w:r>
      <w:r>
        <w:rPr>
          <w:rFonts w:ascii="仿宋_GB2312" w:eastAsia="仿宋_GB2312" w:cs="仿宋_GB2312"/>
          <w:color w:val="000000"/>
          <w:sz w:val="30"/>
          <w:szCs w:val="30"/>
        </w:rPr>
        <w:t>1</w:t>
      </w:r>
      <w:r>
        <w:rPr>
          <w:rFonts w:hint="eastAsia" w:ascii="仿宋_GB2312" w:eastAsia="仿宋_GB2312" w:cs="仿宋_GB2312"/>
          <w:color w:val="000000"/>
          <w:sz w:val="30"/>
          <w:szCs w:val="30"/>
        </w:rPr>
        <w:t>间。</w:t>
      </w:r>
    </w:p>
    <w:p w14:paraId="05D310E3">
      <w:pPr>
        <w:keepNext w:val="0"/>
        <w:keepLines w:val="0"/>
        <w:pageBreakBefore w:val="0"/>
        <w:widowControl w:val="0"/>
        <w:kinsoku/>
        <w:wordWrap/>
        <w:overflowPunct/>
        <w:topLinePunct w:val="0"/>
        <w:autoSpaceDE/>
        <w:autoSpaceDN/>
        <w:bidi w:val="0"/>
        <w:adjustRightInd w:val="0"/>
        <w:snapToGrid w:val="0"/>
        <w:spacing w:line="480" w:lineRule="exact"/>
        <w:ind w:firstLine="602" w:firstLineChars="200"/>
        <w:textAlignment w:val="auto"/>
        <w:rPr>
          <w:rFonts w:ascii="仿宋_GB2312" w:eastAsia="仿宋_GB2312"/>
          <w:b/>
          <w:bCs/>
          <w:color w:val="000000"/>
          <w:sz w:val="30"/>
          <w:szCs w:val="30"/>
        </w:rPr>
      </w:pPr>
      <w:r>
        <w:rPr>
          <w:rFonts w:hint="eastAsia" w:ascii="仿宋_GB2312" w:eastAsia="仿宋_GB2312" w:cs="仿宋_GB2312"/>
          <w:b/>
          <w:bCs/>
          <w:color w:val="000000"/>
          <w:sz w:val="30"/>
          <w:szCs w:val="30"/>
        </w:rPr>
        <w:t>（二）竞赛设备</w:t>
      </w:r>
    </w:p>
    <w:p w14:paraId="1907B54D">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eastAsia="仿宋_GB2312"/>
          <w:color w:val="000000"/>
          <w:sz w:val="30"/>
          <w:szCs w:val="30"/>
        </w:rPr>
      </w:pPr>
      <w:r>
        <w:rPr>
          <w:rFonts w:hint="eastAsia" w:ascii="仿宋_GB2312" w:eastAsia="仿宋_GB2312" w:cs="仿宋_GB2312"/>
          <w:color w:val="000000"/>
          <w:sz w:val="30"/>
          <w:szCs w:val="30"/>
        </w:rPr>
        <w:t>所有竞赛设备由赛项组委会负责提供和保障，按照参赛队数量准备比赛所需的软硬件平台，详见技术平台部分。</w:t>
      </w:r>
    </w:p>
    <w:p w14:paraId="6F198A1A">
      <w:pPr>
        <w:keepNext w:val="0"/>
        <w:keepLines w:val="0"/>
        <w:pageBreakBefore w:val="0"/>
        <w:widowControl w:val="0"/>
        <w:kinsoku/>
        <w:wordWrap/>
        <w:overflowPunct/>
        <w:topLinePunct w:val="0"/>
        <w:autoSpaceDE/>
        <w:autoSpaceDN/>
        <w:bidi w:val="0"/>
        <w:adjustRightInd w:val="0"/>
        <w:snapToGrid w:val="0"/>
        <w:spacing w:line="480" w:lineRule="exact"/>
        <w:ind w:firstLine="602" w:firstLineChars="200"/>
        <w:textAlignment w:val="auto"/>
        <w:rPr>
          <w:rFonts w:ascii="仿宋_GB2312" w:eastAsia="仿宋_GB2312"/>
          <w:b/>
          <w:bCs/>
          <w:color w:val="000000"/>
          <w:sz w:val="30"/>
          <w:szCs w:val="30"/>
        </w:rPr>
      </w:pPr>
      <w:r>
        <w:rPr>
          <w:rFonts w:hint="eastAsia" w:ascii="仿宋_GB2312" w:eastAsia="仿宋_GB2312" w:cs="仿宋_GB2312"/>
          <w:b/>
          <w:bCs/>
          <w:color w:val="000000"/>
          <w:sz w:val="30"/>
          <w:szCs w:val="30"/>
        </w:rPr>
        <w:t>（三）竞赛工位</w:t>
      </w:r>
    </w:p>
    <w:p w14:paraId="55694C11">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eastAsia="仿宋_GB2312"/>
          <w:color w:val="000000"/>
          <w:sz w:val="30"/>
          <w:szCs w:val="30"/>
        </w:rPr>
      </w:pPr>
      <w:r>
        <w:rPr>
          <w:rFonts w:hint="eastAsia" w:ascii="仿宋_GB2312" w:eastAsia="仿宋_GB2312" w:cs="仿宋_GB2312"/>
          <w:color w:val="000000"/>
          <w:sz w:val="30"/>
          <w:szCs w:val="30"/>
        </w:rPr>
        <w:t>每个比赛工位上标明编号。每个比赛间配有工作台，用于摆放计算机和其它调试设备工具等。</w:t>
      </w:r>
    </w:p>
    <w:p w14:paraId="02F2E5D4">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黑体" w:hAnsi="黑体" w:eastAsia="黑体"/>
          <w:color w:val="000000"/>
          <w:sz w:val="30"/>
          <w:szCs w:val="30"/>
        </w:rPr>
      </w:pPr>
      <w:r>
        <w:rPr>
          <w:rFonts w:hint="eastAsia" w:ascii="黑体" w:hAnsi="黑体" w:eastAsia="黑体" w:cs="黑体"/>
          <w:color w:val="000000"/>
          <w:sz w:val="30"/>
          <w:szCs w:val="30"/>
          <w:lang w:val="en-US" w:eastAsia="zh-CN"/>
        </w:rPr>
        <w:t>七</w:t>
      </w:r>
      <w:r>
        <w:rPr>
          <w:rFonts w:hint="eastAsia" w:ascii="黑体" w:hAnsi="黑体" w:eastAsia="黑体" w:cs="黑体"/>
          <w:color w:val="000000"/>
          <w:sz w:val="30"/>
          <w:szCs w:val="30"/>
        </w:rPr>
        <w:t>、技术规范</w:t>
      </w:r>
    </w:p>
    <w:p w14:paraId="24D57242">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eastAsia="仿宋_GB2312" w:cs="仿宋_GB2312"/>
          <w:color w:val="000000"/>
          <w:sz w:val="30"/>
          <w:szCs w:val="30"/>
          <w:lang w:val="en-US" w:eastAsia="zh-CN"/>
        </w:rPr>
      </w:pPr>
      <w:r>
        <w:rPr>
          <w:rFonts w:hint="eastAsia" w:ascii="仿宋_GB2312" w:eastAsia="仿宋_GB2312" w:cs="仿宋_GB2312"/>
          <w:color w:val="000000"/>
          <w:sz w:val="30"/>
          <w:szCs w:val="30"/>
        </w:rPr>
        <w:t>（一）</w:t>
      </w:r>
      <w:r>
        <w:rPr>
          <w:rFonts w:hint="eastAsia" w:ascii="仿宋_GB2312" w:eastAsia="仿宋_GB2312" w:cs="仿宋_GB2312"/>
          <w:color w:val="000000"/>
          <w:sz w:val="30"/>
          <w:szCs w:val="30"/>
          <w:lang w:val="en-US" w:eastAsia="zh-CN"/>
        </w:rPr>
        <w:t>软件技术规范</w:t>
      </w:r>
    </w:p>
    <w:p w14:paraId="01D90ABB">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eastAsia="仿宋_GB2312" w:cs="仿宋_GB2312"/>
          <w:color w:val="000000"/>
          <w:sz w:val="30"/>
          <w:szCs w:val="30"/>
        </w:rPr>
      </w:pPr>
      <w:r>
        <w:rPr>
          <w:rFonts w:hint="eastAsia" w:ascii="仿宋_GB2312" w:eastAsia="仿宋_GB2312" w:cs="仿宋_GB2312"/>
          <w:color w:val="000000"/>
          <w:sz w:val="30"/>
          <w:szCs w:val="30"/>
          <w:lang w:val="en-US" w:eastAsia="zh-CN"/>
        </w:rPr>
        <w:t>1.</w:t>
      </w:r>
      <w:r>
        <w:rPr>
          <w:rFonts w:hint="eastAsia" w:ascii="仿宋_GB2312" w:eastAsia="仿宋_GB2312" w:cs="仿宋_GB2312"/>
          <w:color w:val="000000"/>
          <w:sz w:val="30"/>
          <w:szCs w:val="30"/>
        </w:rPr>
        <w:t xml:space="preserve">教育部《职业教育专业目录（2021 年）》（教职成〔2021〕 2 号）。 </w:t>
      </w:r>
    </w:p>
    <w:p w14:paraId="5DBB0CB0">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eastAsia="仿宋_GB2312" w:cs="仿宋_GB2312"/>
          <w:color w:val="000000"/>
          <w:sz w:val="30"/>
          <w:szCs w:val="30"/>
        </w:rPr>
      </w:pPr>
      <w:r>
        <w:rPr>
          <w:rFonts w:hint="eastAsia" w:ascii="仿宋_GB2312" w:eastAsia="仿宋_GB2312" w:cs="仿宋_GB2312"/>
          <w:color w:val="000000"/>
          <w:sz w:val="30"/>
          <w:szCs w:val="30"/>
          <w:lang w:val="en-US" w:eastAsia="zh-CN"/>
        </w:rPr>
        <w:t>2.</w:t>
      </w:r>
      <w:r>
        <w:rPr>
          <w:rFonts w:hint="eastAsia" w:ascii="仿宋_GB2312" w:eastAsia="仿宋_GB2312" w:cs="仿宋_GB2312"/>
          <w:color w:val="000000"/>
          <w:sz w:val="30"/>
          <w:szCs w:val="30"/>
        </w:rPr>
        <w:t xml:space="preserve">截止2022年12月31日发布并实施的 《小企业会计准则》。 </w:t>
      </w:r>
    </w:p>
    <w:p w14:paraId="33B6EC5F">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eastAsia="仿宋_GB2312" w:cs="仿宋_GB2312"/>
          <w:color w:val="000000"/>
          <w:sz w:val="30"/>
          <w:szCs w:val="30"/>
        </w:rPr>
      </w:pPr>
      <w:r>
        <w:rPr>
          <w:rFonts w:hint="eastAsia" w:ascii="仿宋_GB2312" w:eastAsia="仿宋_GB2312" w:cs="仿宋_GB2312"/>
          <w:color w:val="000000"/>
          <w:sz w:val="30"/>
          <w:szCs w:val="30"/>
          <w:lang w:val="en-US" w:eastAsia="zh-CN"/>
        </w:rPr>
        <w:t>3.</w:t>
      </w:r>
      <w:r>
        <w:rPr>
          <w:rFonts w:hint="eastAsia" w:ascii="仿宋_GB2312" w:eastAsia="仿宋_GB2312" w:cs="仿宋_GB2312"/>
          <w:color w:val="000000"/>
          <w:sz w:val="30"/>
          <w:szCs w:val="30"/>
        </w:rPr>
        <w:t>截止2022年12月31日发布并开始实施的税收政策。</w:t>
      </w:r>
    </w:p>
    <w:p w14:paraId="76F72111">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eastAsia="仿宋_GB2312" w:cs="仿宋_GB2312"/>
          <w:color w:val="000000"/>
          <w:sz w:val="30"/>
          <w:szCs w:val="30"/>
        </w:rPr>
      </w:pPr>
      <w:r>
        <w:rPr>
          <w:rFonts w:hint="eastAsia" w:ascii="仿宋_GB2312" w:eastAsia="仿宋_GB2312" w:cs="仿宋_GB2312"/>
          <w:color w:val="000000"/>
          <w:sz w:val="30"/>
          <w:szCs w:val="30"/>
          <w:lang w:val="en-US" w:eastAsia="zh-CN"/>
        </w:rPr>
        <w:t>4.</w:t>
      </w:r>
      <w:r>
        <w:rPr>
          <w:rFonts w:hint="eastAsia" w:ascii="仿宋_GB2312" w:eastAsia="仿宋_GB2312" w:cs="仿宋_GB2312"/>
          <w:color w:val="000000"/>
          <w:sz w:val="30"/>
          <w:szCs w:val="30"/>
        </w:rPr>
        <w:t>截止2022年12月31日发布并开始实施的其它相关财经类法规、制度等。</w:t>
      </w:r>
    </w:p>
    <w:p w14:paraId="59101AF6">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eastAsia="仿宋_GB2312" w:cs="仿宋_GB2312"/>
          <w:color w:val="000000"/>
          <w:sz w:val="30"/>
          <w:szCs w:val="30"/>
        </w:rPr>
      </w:pPr>
      <w:r>
        <w:rPr>
          <w:rFonts w:hint="eastAsia" w:ascii="仿宋_GB2312" w:eastAsia="仿宋_GB2312" w:cs="仿宋_GB2312"/>
          <w:color w:val="000000"/>
          <w:sz w:val="30"/>
          <w:szCs w:val="30"/>
          <w:lang w:val="en-US" w:eastAsia="zh-CN"/>
        </w:rPr>
        <w:t>5.</w:t>
      </w:r>
      <w:r>
        <w:rPr>
          <w:rFonts w:hint="eastAsia" w:ascii="仿宋_GB2312" w:eastAsia="仿宋_GB2312" w:cs="仿宋_GB2312"/>
          <w:color w:val="000000"/>
          <w:sz w:val="30"/>
          <w:szCs w:val="30"/>
        </w:rPr>
        <w:t>财政部、国家档案局联合制定发布实施的《关于规范电子会计凭证报销入账归档的通知》。</w:t>
      </w:r>
    </w:p>
    <w:p w14:paraId="20823770">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eastAsia="仿宋_GB2312" w:cs="仿宋_GB2312"/>
          <w:color w:val="000000"/>
          <w:sz w:val="30"/>
          <w:szCs w:val="30"/>
          <w:lang w:val="en-US" w:eastAsia="zh-CN"/>
        </w:rPr>
      </w:pPr>
      <w:r>
        <w:rPr>
          <w:rFonts w:hint="eastAsia" w:ascii="仿宋_GB2312" w:eastAsia="仿宋_GB2312" w:cs="仿宋_GB2312"/>
          <w:color w:val="000000"/>
          <w:sz w:val="30"/>
          <w:szCs w:val="30"/>
        </w:rPr>
        <w:t>（</w:t>
      </w:r>
      <w:r>
        <w:rPr>
          <w:rFonts w:hint="eastAsia" w:ascii="仿宋_GB2312" w:eastAsia="仿宋_GB2312" w:cs="仿宋_GB2312"/>
          <w:color w:val="000000"/>
          <w:sz w:val="30"/>
          <w:szCs w:val="30"/>
          <w:lang w:val="en-US" w:eastAsia="zh-CN"/>
        </w:rPr>
        <w:t>二</w:t>
      </w:r>
      <w:r>
        <w:rPr>
          <w:rFonts w:hint="eastAsia" w:ascii="仿宋_GB2312" w:eastAsia="仿宋_GB2312" w:cs="仿宋_GB2312"/>
          <w:color w:val="000000"/>
          <w:sz w:val="30"/>
          <w:szCs w:val="30"/>
        </w:rPr>
        <w:t>）</w:t>
      </w:r>
      <w:r>
        <w:rPr>
          <w:rFonts w:hint="eastAsia" w:ascii="仿宋_GB2312" w:eastAsia="仿宋_GB2312" w:cs="仿宋_GB2312"/>
          <w:color w:val="000000"/>
          <w:sz w:val="30"/>
          <w:szCs w:val="30"/>
          <w:lang w:val="en-US" w:eastAsia="zh-CN"/>
        </w:rPr>
        <w:t>场地技术规范</w:t>
      </w:r>
    </w:p>
    <w:p w14:paraId="43898C81">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eastAsia="仿宋_GB2312"/>
          <w:color w:val="000000"/>
          <w:sz w:val="30"/>
          <w:szCs w:val="30"/>
        </w:rPr>
      </w:pPr>
      <w:r>
        <w:rPr>
          <w:rFonts w:hint="eastAsia" w:ascii="仿宋_GB2312" w:eastAsia="仿宋_GB2312" w:cs="仿宋_GB2312"/>
          <w:color w:val="000000"/>
          <w:sz w:val="30"/>
          <w:szCs w:val="30"/>
        </w:rPr>
        <w:t>竞赛现场设置竞赛区、裁判区、服务区、技术支持区。</w:t>
      </w:r>
    </w:p>
    <w:p w14:paraId="3B38DCA6">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eastAsia="仿宋_GB2312"/>
          <w:color w:val="000000"/>
          <w:sz w:val="30"/>
          <w:szCs w:val="30"/>
        </w:rPr>
      </w:pPr>
      <w:r>
        <w:rPr>
          <w:rFonts w:hint="eastAsia" w:ascii="仿宋_GB2312" w:eastAsia="仿宋_GB2312" w:cs="仿宋_GB2312"/>
          <w:color w:val="000000"/>
          <w:sz w:val="30"/>
          <w:szCs w:val="30"/>
          <w:lang w:val="en-US" w:eastAsia="zh-CN"/>
        </w:rPr>
        <w:t>1.</w:t>
      </w:r>
      <w:r>
        <w:rPr>
          <w:rFonts w:hint="eastAsia" w:ascii="仿宋_GB2312" w:eastAsia="仿宋_GB2312" w:cs="仿宋_GB2312"/>
          <w:color w:val="000000"/>
          <w:sz w:val="30"/>
          <w:szCs w:val="30"/>
        </w:rPr>
        <w:t>竞赛区提供标准竞赛设备；竞赛区的每个比赛工位上标明编号；每个比赛间配置若干工作台，用于摆放计算机和其它调试操作，工作台上面摆放制作工具等。</w:t>
      </w:r>
    </w:p>
    <w:p w14:paraId="7F9F2C69">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eastAsia="仿宋_GB2312"/>
          <w:color w:val="000000"/>
          <w:sz w:val="30"/>
          <w:szCs w:val="30"/>
        </w:rPr>
      </w:pPr>
      <w:r>
        <w:rPr>
          <w:rFonts w:hint="eastAsia" w:ascii="仿宋_GB2312" w:eastAsia="仿宋_GB2312" w:cs="仿宋_GB2312"/>
          <w:color w:val="000000"/>
          <w:sz w:val="30"/>
          <w:szCs w:val="30"/>
          <w:lang w:val="en-US" w:eastAsia="zh-CN"/>
        </w:rPr>
        <w:t>2.</w:t>
      </w:r>
      <w:r>
        <w:rPr>
          <w:rFonts w:hint="eastAsia" w:ascii="仿宋_GB2312" w:eastAsia="仿宋_GB2312" w:cs="仿宋_GB2312"/>
          <w:color w:val="000000"/>
          <w:sz w:val="30"/>
          <w:szCs w:val="30"/>
        </w:rPr>
        <w:t>裁判区配置计算机等统计工具。</w:t>
      </w:r>
    </w:p>
    <w:p w14:paraId="4F325EA9">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eastAsia="仿宋_GB2312"/>
          <w:color w:val="000000"/>
          <w:sz w:val="30"/>
          <w:szCs w:val="30"/>
        </w:rPr>
      </w:pPr>
      <w:r>
        <w:rPr>
          <w:rFonts w:hint="eastAsia" w:ascii="仿宋_GB2312" w:eastAsia="仿宋_GB2312" w:cs="仿宋_GB2312"/>
          <w:color w:val="000000"/>
          <w:sz w:val="30"/>
          <w:szCs w:val="30"/>
          <w:lang w:val="en-US" w:eastAsia="zh-CN"/>
        </w:rPr>
        <w:t>3.</w:t>
      </w:r>
      <w:r>
        <w:rPr>
          <w:rFonts w:hint="eastAsia" w:ascii="仿宋_GB2312" w:eastAsia="仿宋_GB2312" w:cs="仿宋_GB2312"/>
          <w:color w:val="000000"/>
          <w:sz w:val="30"/>
          <w:szCs w:val="30"/>
        </w:rPr>
        <w:t>服务区提供医疗等服务保障。</w:t>
      </w:r>
    </w:p>
    <w:p w14:paraId="490189BC">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eastAsia="仿宋_GB2312"/>
          <w:color w:val="000000"/>
          <w:sz w:val="30"/>
          <w:szCs w:val="30"/>
        </w:rPr>
      </w:pPr>
      <w:r>
        <w:rPr>
          <w:rFonts w:hint="eastAsia" w:ascii="仿宋_GB2312" w:eastAsia="仿宋_GB2312" w:cs="仿宋_GB2312"/>
          <w:color w:val="000000"/>
          <w:sz w:val="30"/>
          <w:szCs w:val="30"/>
          <w:lang w:val="en-US" w:eastAsia="zh-CN"/>
        </w:rPr>
        <w:t>4.</w:t>
      </w:r>
      <w:r>
        <w:rPr>
          <w:rFonts w:hint="eastAsia" w:ascii="仿宋_GB2312" w:eastAsia="仿宋_GB2312" w:cs="仿宋_GB2312"/>
          <w:color w:val="000000"/>
          <w:sz w:val="30"/>
          <w:szCs w:val="30"/>
        </w:rPr>
        <w:t>技术支持区为参赛选手提供公用设备等。</w:t>
      </w:r>
    </w:p>
    <w:p w14:paraId="209E25D5">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_GB2312" w:eastAsia="仿宋_GB2312"/>
          <w:color w:val="000000"/>
          <w:sz w:val="30"/>
          <w:szCs w:val="30"/>
        </w:rPr>
      </w:pPr>
      <w:r>
        <w:rPr>
          <w:rFonts w:hint="eastAsia" w:ascii="仿宋_GB2312" w:eastAsia="仿宋_GB2312" w:cs="仿宋_GB2312"/>
          <w:color w:val="000000"/>
          <w:sz w:val="30"/>
          <w:szCs w:val="30"/>
          <w:lang w:val="en-US" w:eastAsia="zh-CN"/>
        </w:rPr>
        <w:t>5.</w:t>
      </w:r>
      <w:r>
        <w:rPr>
          <w:rFonts w:hint="eastAsia" w:ascii="仿宋_GB2312" w:eastAsia="仿宋_GB2312" w:cs="仿宋_GB2312"/>
          <w:color w:val="000000"/>
          <w:sz w:val="30"/>
          <w:szCs w:val="30"/>
        </w:rPr>
        <w:t>竞赛现场各个工作区配备单相</w:t>
      </w:r>
      <w:r>
        <w:rPr>
          <w:rFonts w:ascii="仿宋_GB2312" w:eastAsia="仿宋_GB2312" w:cs="仿宋_GB2312"/>
          <w:color w:val="000000"/>
          <w:sz w:val="30"/>
          <w:szCs w:val="30"/>
        </w:rPr>
        <w:t>220V/3A</w:t>
      </w:r>
      <w:r>
        <w:rPr>
          <w:rFonts w:hint="eastAsia" w:ascii="仿宋_GB2312" w:eastAsia="仿宋_GB2312" w:cs="仿宋_GB2312"/>
          <w:color w:val="000000"/>
          <w:sz w:val="30"/>
          <w:szCs w:val="30"/>
        </w:rPr>
        <w:t>以上交流电源。</w:t>
      </w:r>
    </w:p>
    <w:p w14:paraId="2C67B128">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黑体" w:hAnsi="黑体" w:eastAsia="黑体"/>
          <w:color w:val="000000"/>
          <w:sz w:val="30"/>
          <w:szCs w:val="30"/>
        </w:rPr>
      </w:pPr>
      <w:r>
        <w:rPr>
          <w:rFonts w:hint="eastAsia" w:ascii="黑体" w:hAnsi="黑体" w:eastAsia="黑体" w:cs="黑体"/>
          <w:color w:val="000000"/>
          <w:sz w:val="30"/>
          <w:szCs w:val="30"/>
          <w:lang w:val="en-US" w:eastAsia="zh-CN"/>
        </w:rPr>
        <w:t>八</w:t>
      </w:r>
      <w:r>
        <w:rPr>
          <w:rFonts w:hint="eastAsia" w:ascii="黑体" w:hAnsi="黑体" w:eastAsia="黑体" w:cs="黑体"/>
          <w:color w:val="000000"/>
          <w:sz w:val="30"/>
          <w:szCs w:val="30"/>
        </w:rPr>
        <w:t>、技术平台</w:t>
      </w:r>
    </w:p>
    <w:p w14:paraId="50F8F511">
      <w:pPr>
        <w:keepNext w:val="0"/>
        <w:keepLines w:val="0"/>
        <w:pageBreakBefore w:val="0"/>
        <w:widowControl w:val="0"/>
        <w:kinsoku/>
        <w:wordWrap/>
        <w:overflowPunct/>
        <w:topLinePunct w:val="0"/>
        <w:autoSpaceDE/>
        <w:autoSpaceDN/>
        <w:bidi w:val="0"/>
        <w:adjustRightInd w:val="0"/>
        <w:snapToGrid w:val="0"/>
        <w:spacing w:line="480" w:lineRule="exact"/>
        <w:ind w:firstLine="602" w:firstLineChars="200"/>
        <w:textAlignment w:val="auto"/>
        <w:rPr>
          <w:rFonts w:ascii="仿宋_GB2312" w:eastAsia="仿宋_GB2312"/>
          <w:b/>
          <w:bCs/>
          <w:color w:val="000000"/>
          <w:sz w:val="30"/>
          <w:szCs w:val="30"/>
        </w:rPr>
      </w:pPr>
      <w:r>
        <w:rPr>
          <w:rFonts w:hint="eastAsia" w:ascii="仿宋_GB2312" w:eastAsia="仿宋_GB2312" w:cs="仿宋_GB2312"/>
          <w:b/>
          <w:bCs/>
          <w:color w:val="000000"/>
          <w:sz w:val="30"/>
          <w:szCs w:val="30"/>
        </w:rPr>
        <w:t>（一）硬件环境</w:t>
      </w:r>
    </w:p>
    <w:tbl>
      <w:tblPr>
        <w:tblStyle w:val="5"/>
        <w:tblW w:w="8866" w:type="dxa"/>
        <w:jc w:val="center"/>
        <w:tblLayout w:type="fixed"/>
        <w:tblCellMar>
          <w:top w:w="0" w:type="dxa"/>
          <w:left w:w="108" w:type="dxa"/>
          <w:bottom w:w="0" w:type="dxa"/>
          <w:right w:w="108" w:type="dxa"/>
        </w:tblCellMar>
      </w:tblPr>
      <w:tblGrid>
        <w:gridCol w:w="1534"/>
        <w:gridCol w:w="7332"/>
      </w:tblGrid>
      <w:tr w14:paraId="6760598F">
        <w:trPr>
          <w:trHeight w:val="462" w:hRule="atLeast"/>
          <w:jc w:val="center"/>
        </w:trPr>
        <w:tc>
          <w:tcPr>
            <w:tcW w:w="1534" w:type="dxa"/>
            <w:tcBorders>
              <w:top w:val="single" w:color="auto" w:sz="4" w:space="0"/>
              <w:left w:val="single" w:color="auto" w:sz="4" w:space="0"/>
              <w:bottom w:val="single" w:color="auto" w:sz="4" w:space="0"/>
              <w:right w:val="single" w:color="auto" w:sz="4" w:space="0"/>
            </w:tcBorders>
            <w:vAlign w:val="center"/>
          </w:tcPr>
          <w:p w14:paraId="55BA83FB">
            <w:pPr>
              <w:adjustRightInd w:val="0"/>
              <w:snapToGrid w:val="0"/>
              <w:spacing w:line="360" w:lineRule="auto"/>
              <w:jc w:val="center"/>
              <w:rPr>
                <w:rFonts w:ascii="仿宋_GB2312" w:eastAsia="仿宋_GB2312"/>
                <w:color w:val="000000"/>
                <w:sz w:val="24"/>
                <w:szCs w:val="24"/>
              </w:rPr>
            </w:pPr>
            <w:r>
              <w:rPr>
                <w:rFonts w:hint="eastAsia" w:ascii="仿宋_GB2312" w:eastAsia="仿宋_GB2312" w:cs="仿宋_GB2312"/>
                <w:color w:val="000000"/>
                <w:sz w:val="24"/>
                <w:szCs w:val="24"/>
              </w:rPr>
              <w:t>类别</w:t>
            </w:r>
          </w:p>
        </w:tc>
        <w:tc>
          <w:tcPr>
            <w:tcW w:w="7332" w:type="dxa"/>
            <w:tcBorders>
              <w:top w:val="single" w:color="auto" w:sz="4" w:space="0"/>
              <w:left w:val="single" w:color="auto" w:sz="4" w:space="0"/>
              <w:bottom w:val="single" w:color="auto" w:sz="4" w:space="0"/>
              <w:right w:val="single" w:color="auto" w:sz="4" w:space="0"/>
            </w:tcBorders>
            <w:vAlign w:val="center"/>
          </w:tcPr>
          <w:p w14:paraId="2474AC2C">
            <w:pPr>
              <w:adjustRightInd w:val="0"/>
              <w:snapToGrid w:val="0"/>
              <w:spacing w:line="360" w:lineRule="auto"/>
              <w:jc w:val="center"/>
              <w:rPr>
                <w:rFonts w:ascii="仿宋_GB2312" w:eastAsia="仿宋_GB2312"/>
                <w:color w:val="000000"/>
                <w:sz w:val="24"/>
                <w:szCs w:val="24"/>
              </w:rPr>
            </w:pPr>
            <w:r>
              <w:rPr>
                <w:rFonts w:hint="eastAsia" w:ascii="仿宋_GB2312" w:eastAsia="仿宋_GB2312" w:cs="仿宋_GB2312"/>
                <w:color w:val="000000"/>
                <w:sz w:val="24"/>
                <w:szCs w:val="24"/>
              </w:rPr>
              <w:t>描述</w:t>
            </w:r>
          </w:p>
        </w:tc>
      </w:tr>
      <w:tr w14:paraId="5190768A">
        <w:tblPrEx>
          <w:tblCellMar>
            <w:top w:w="0" w:type="dxa"/>
            <w:left w:w="108" w:type="dxa"/>
            <w:bottom w:w="0" w:type="dxa"/>
            <w:right w:w="108" w:type="dxa"/>
          </w:tblCellMar>
        </w:tblPrEx>
        <w:trPr>
          <w:trHeight w:val="764" w:hRule="atLeast"/>
          <w:jc w:val="center"/>
        </w:trPr>
        <w:tc>
          <w:tcPr>
            <w:tcW w:w="1534" w:type="dxa"/>
            <w:tcBorders>
              <w:top w:val="nil"/>
              <w:left w:val="single" w:color="auto" w:sz="4" w:space="0"/>
              <w:right w:val="single" w:color="auto" w:sz="4" w:space="0"/>
            </w:tcBorders>
            <w:vAlign w:val="center"/>
          </w:tcPr>
          <w:p w14:paraId="768B5F2E">
            <w:pPr>
              <w:adjustRightInd w:val="0"/>
              <w:snapToGrid w:val="0"/>
              <w:spacing w:line="360" w:lineRule="auto"/>
              <w:ind w:firstLine="240" w:firstLineChars="100"/>
              <w:jc w:val="both"/>
              <w:rPr>
                <w:rFonts w:ascii="仿宋_GB2312" w:eastAsia="仿宋_GB2312"/>
                <w:color w:val="000000"/>
                <w:sz w:val="24"/>
                <w:szCs w:val="24"/>
              </w:rPr>
            </w:pPr>
            <w:r>
              <w:rPr>
                <w:rFonts w:hint="eastAsia" w:ascii="仿宋_GB2312" w:eastAsia="仿宋_GB2312" w:cs="仿宋_GB2312"/>
                <w:color w:val="000000"/>
                <w:sz w:val="24"/>
                <w:szCs w:val="24"/>
              </w:rPr>
              <w:t>服务器</w:t>
            </w:r>
          </w:p>
        </w:tc>
        <w:tc>
          <w:tcPr>
            <w:tcW w:w="7332" w:type="dxa"/>
            <w:tcBorders>
              <w:top w:val="nil"/>
              <w:left w:val="single" w:color="auto" w:sz="4" w:space="0"/>
              <w:right w:val="single" w:color="auto" w:sz="4" w:space="0"/>
            </w:tcBorders>
          </w:tcPr>
          <w:p w14:paraId="724D568F">
            <w:pPr>
              <w:adjustRightInd w:val="0"/>
              <w:snapToGrid w:val="0"/>
              <w:spacing w:line="360" w:lineRule="auto"/>
              <w:jc w:val="left"/>
              <w:rPr>
                <w:rFonts w:ascii="仿宋_GB2312" w:eastAsia="仿宋_GB2312"/>
                <w:color w:val="000000"/>
                <w:sz w:val="24"/>
                <w:szCs w:val="24"/>
              </w:rPr>
            </w:pPr>
            <w:r>
              <w:rPr>
                <w:rFonts w:ascii="仿宋_GB2312" w:eastAsia="仿宋_GB2312" w:cs="仿宋_GB2312"/>
                <w:color w:val="000000"/>
                <w:sz w:val="24"/>
                <w:szCs w:val="24"/>
              </w:rPr>
              <w:t>CPU</w:t>
            </w:r>
            <w:r>
              <w:rPr>
                <w:rFonts w:hint="eastAsia" w:ascii="仿宋_GB2312" w:eastAsia="仿宋_GB2312" w:cs="仿宋_GB2312"/>
                <w:color w:val="000000"/>
                <w:sz w:val="24"/>
                <w:szCs w:val="24"/>
              </w:rPr>
              <w:t>：两颗</w:t>
            </w:r>
            <w:r>
              <w:rPr>
                <w:rFonts w:ascii="仿宋_GB2312" w:eastAsia="仿宋_GB2312" w:cs="仿宋_GB2312"/>
                <w:color w:val="000000"/>
                <w:sz w:val="24"/>
                <w:szCs w:val="24"/>
              </w:rPr>
              <w:t>intel E5-2650v4</w:t>
            </w:r>
            <w:r>
              <w:rPr>
                <w:rFonts w:hint="eastAsia" w:ascii="仿宋_GB2312" w:eastAsia="仿宋_GB2312" w:cs="仿宋_GB2312"/>
                <w:color w:val="000000"/>
                <w:sz w:val="24"/>
                <w:szCs w:val="24"/>
              </w:rPr>
              <w:t>；内存：</w:t>
            </w:r>
            <w:r>
              <w:rPr>
                <w:rFonts w:ascii="仿宋_GB2312" w:eastAsia="仿宋_GB2312" w:cs="仿宋_GB2312"/>
                <w:color w:val="000000"/>
                <w:sz w:val="24"/>
                <w:szCs w:val="24"/>
              </w:rPr>
              <w:t xml:space="preserve">128G DDR4-2133 </w:t>
            </w:r>
            <w:r>
              <w:rPr>
                <w:rFonts w:hint="eastAsia" w:ascii="仿宋_GB2312" w:eastAsia="仿宋_GB2312" w:cs="仿宋_GB2312"/>
                <w:color w:val="000000"/>
                <w:sz w:val="24"/>
                <w:szCs w:val="24"/>
              </w:rPr>
              <w:t>；</w:t>
            </w:r>
          </w:p>
          <w:p w14:paraId="62085794">
            <w:pPr>
              <w:adjustRightInd w:val="0"/>
              <w:snapToGrid w:val="0"/>
              <w:spacing w:line="360" w:lineRule="auto"/>
              <w:jc w:val="left"/>
              <w:rPr>
                <w:rFonts w:ascii="仿宋_GB2312" w:eastAsia="仿宋_GB2312"/>
                <w:color w:val="000000"/>
                <w:sz w:val="24"/>
                <w:szCs w:val="24"/>
              </w:rPr>
            </w:pPr>
            <w:r>
              <w:rPr>
                <w:rFonts w:hint="eastAsia" w:ascii="仿宋_GB2312" w:eastAsia="仿宋_GB2312" w:cs="仿宋_GB2312"/>
                <w:color w:val="000000"/>
                <w:sz w:val="24"/>
                <w:szCs w:val="24"/>
              </w:rPr>
              <w:t>硬盘：</w:t>
            </w:r>
            <w:r>
              <w:rPr>
                <w:rFonts w:ascii="仿宋_GB2312" w:eastAsia="仿宋_GB2312" w:cs="仿宋_GB2312"/>
                <w:color w:val="000000"/>
                <w:sz w:val="24"/>
                <w:szCs w:val="24"/>
              </w:rPr>
              <w:t>4</w:t>
            </w:r>
            <w:r>
              <w:rPr>
                <w:rFonts w:hint="eastAsia" w:ascii="仿宋_GB2312" w:eastAsia="仿宋_GB2312" w:cs="仿宋_GB2312"/>
                <w:color w:val="000000"/>
                <w:sz w:val="24"/>
                <w:szCs w:val="24"/>
              </w:rPr>
              <w:t>块</w:t>
            </w:r>
            <w:r>
              <w:rPr>
                <w:rFonts w:ascii="仿宋_GB2312" w:eastAsia="仿宋_GB2312" w:cs="仿宋_GB2312"/>
                <w:color w:val="000000"/>
                <w:sz w:val="24"/>
                <w:szCs w:val="24"/>
              </w:rPr>
              <w:t xml:space="preserve"> 600GB SAS</w:t>
            </w:r>
            <w:r>
              <w:rPr>
                <w:rFonts w:hint="eastAsia" w:ascii="仿宋_GB2312" w:eastAsia="仿宋_GB2312" w:cs="仿宋_GB2312"/>
                <w:color w:val="000000"/>
                <w:sz w:val="24"/>
                <w:szCs w:val="24"/>
              </w:rPr>
              <w:t>硬盘</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w:t>
            </w:r>
          </w:p>
          <w:p w14:paraId="7306FB9A">
            <w:pPr>
              <w:adjustRightInd w:val="0"/>
              <w:snapToGrid w:val="0"/>
              <w:spacing w:line="360" w:lineRule="auto"/>
              <w:jc w:val="left"/>
              <w:rPr>
                <w:rFonts w:ascii="仿宋_GB2312" w:eastAsia="仿宋_GB2312"/>
                <w:color w:val="000000"/>
                <w:sz w:val="24"/>
                <w:szCs w:val="24"/>
              </w:rPr>
            </w:pPr>
            <w:r>
              <w:rPr>
                <w:rFonts w:hint="eastAsia" w:ascii="仿宋_GB2312" w:eastAsia="仿宋_GB2312" w:cs="仿宋_GB2312"/>
                <w:color w:val="000000"/>
                <w:sz w:val="24"/>
                <w:szCs w:val="24"/>
              </w:rPr>
              <w:t>操作系统：</w:t>
            </w:r>
            <w:r>
              <w:rPr>
                <w:rFonts w:ascii="仿宋_GB2312" w:eastAsia="仿宋_GB2312" w:cs="仿宋_GB2312"/>
                <w:color w:val="000000"/>
                <w:sz w:val="24"/>
                <w:szCs w:val="24"/>
              </w:rPr>
              <w:t>windows server2008 64</w:t>
            </w:r>
            <w:r>
              <w:rPr>
                <w:rFonts w:hint="eastAsia" w:ascii="仿宋_GB2312" w:eastAsia="仿宋_GB2312" w:cs="仿宋_GB2312"/>
                <w:color w:val="000000"/>
                <w:sz w:val="24"/>
                <w:szCs w:val="24"/>
              </w:rPr>
              <w:t>位企业版</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；无光驱。</w:t>
            </w:r>
          </w:p>
        </w:tc>
      </w:tr>
      <w:tr w14:paraId="7870EFC3">
        <w:tblPrEx>
          <w:tblCellMar>
            <w:top w:w="0" w:type="dxa"/>
            <w:left w:w="108" w:type="dxa"/>
            <w:bottom w:w="0" w:type="dxa"/>
            <w:right w:w="108" w:type="dxa"/>
          </w:tblCellMar>
        </w:tblPrEx>
        <w:trPr>
          <w:trHeight w:val="744" w:hRule="atLeast"/>
          <w:jc w:val="center"/>
        </w:trPr>
        <w:tc>
          <w:tcPr>
            <w:tcW w:w="1534" w:type="dxa"/>
            <w:tcBorders>
              <w:top w:val="single" w:color="auto" w:sz="4" w:space="0"/>
              <w:left w:val="single" w:color="auto" w:sz="4" w:space="0"/>
              <w:bottom w:val="single" w:color="auto" w:sz="4" w:space="0"/>
              <w:right w:val="single" w:color="auto" w:sz="4" w:space="0"/>
            </w:tcBorders>
            <w:vAlign w:val="center"/>
          </w:tcPr>
          <w:p w14:paraId="23B92DBA">
            <w:pPr>
              <w:adjustRightInd w:val="0"/>
              <w:snapToGrid w:val="0"/>
              <w:spacing w:line="360" w:lineRule="auto"/>
              <w:ind w:firstLine="240" w:firstLineChars="100"/>
              <w:jc w:val="both"/>
              <w:rPr>
                <w:rFonts w:ascii="仿宋_GB2312" w:eastAsia="仿宋_GB2312"/>
                <w:color w:val="000000"/>
                <w:sz w:val="24"/>
                <w:szCs w:val="24"/>
              </w:rPr>
            </w:pPr>
            <w:r>
              <w:rPr>
                <w:rFonts w:hint="eastAsia" w:ascii="仿宋_GB2312" w:eastAsia="仿宋_GB2312" w:cs="仿宋_GB2312"/>
                <w:color w:val="000000"/>
                <w:sz w:val="24"/>
                <w:szCs w:val="24"/>
              </w:rPr>
              <w:t>客户机</w:t>
            </w:r>
          </w:p>
        </w:tc>
        <w:tc>
          <w:tcPr>
            <w:tcW w:w="7332" w:type="dxa"/>
            <w:tcBorders>
              <w:top w:val="single" w:color="auto" w:sz="4" w:space="0"/>
              <w:left w:val="single" w:color="auto" w:sz="4" w:space="0"/>
              <w:bottom w:val="single" w:color="auto" w:sz="4" w:space="0"/>
              <w:right w:val="single" w:color="auto" w:sz="4" w:space="0"/>
            </w:tcBorders>
          </w:tcPr>
          <w:p w14:paraId="317EB796">
            <w:pPr>
              <w:adjustRightInd w:val="0"/>
              <w:snapToGrid w:val="0"/>
              <w:spacing w:line="360" w:lineRule="auto"/>
              <w:jc w:val="left"/>
              <w:rPr>
                <w:rFonts w:ascii="仿宋_GB2312" w:eastAsia="仿宋_GB2312"/>
                <w:color w:val="000000"/>
                <w:sz w:val="24"/>
                <w:szCs w:val="24"/>
              </w:rPr>
            </w:pPr>
            <w:r>
              <w:rPr>
                <w:rFonts w:ascii="仿宋_GB2312" w:eastAsia="仿宋_GB2312" w:cs="仿宋_GB2312"/>
                <w:color w:val="000000"/>
                <w:sz w:val="24"/>
                <w:szCs w:val="24"/>
              </w:rPr>
              <w:t>CPU</w:t>
            </w:r>
            <w:r>
              <w:rPr>
                <w:rFonts w:hint="eastAsia" w:ascii="仿宋_GB2312" w:eastAsia="仿宋_GB2312" w:cs="仿宋_GB2312"/>
                <w:color w:val="000000"/>
                <w:sz w:val="24"/>
                <w:szCs w:val="24"/>
              </w:rPr>
              <w:t>：</w:t>
            </w:r>
            <w:r>
              <w:rPr>
                <w:rFonts w:ascii="仿宋_GB2312" w:eastAsia="仿宋_GB2312" w:cs="仿宋_GB2312"/>
                <w:color w:val="000000"/>
                <w:sz w:val="24"/>
                <w:szCs w:val="24"/>
              </w:rPr>
              <w:t>intel</w:t>
            </w:r>
            <w:r>
              <w:rPr>
                <w:rFonts w:hint="eastAsia" w:ascii="仿宋_GB2312" w:eastAsia="仿宋_GB2312" w:cs="仿宋_GB2312"/>
                <w:color w:val="000000"/>
                <w:sz w:val="24"/>
                <w:szCs w:val="24"/>
              </w:rPr>
              <w:t>奔腾</w:t>
            </w:r>
            <w:r>
              <w:rPr>
                <w:rFonts w:ascii="仿宋_GB2312" w:eastAsia="仿宋_GB2312" w:cs="仿宋_GB2312"/>
                <w:color w:val="000000"/>
                <w:sz w:val="24"/>
                <w:szCs w:val="24"/>
              </w:rPr>
              <w:t>G645</w:t>
            </w:r>
            <w:r>
              <w:rPr>
                <w:rFonts w:hint="eastAsia" w:ascii="仿宋_GB2312" w:eastAsia="仿宋_GB2312" w:cs="仿宋_GB2312"/>
                <w:color w:val="000000"/>
                <w:sz w:val="24"/>
                <w:szCs w:val="24"/>
              </w:rPr>
              <w:t>（</w:t>
            </w:r>
            <w:r>
              <w:rPr>
                <w:rFonts w:ascii="仿宋_GB2312" w:eastAsia="仿宋_GB2312" w:cs="仿宋_GB2312"/>
                <w:color w:val="000000"/>
                <w:sz w:val="24"/>
                <w:szCs w:val="24"/>
              </w:rPr>
              <w:t xml:space="preserve">2.94GHz </w:t>
            </w:r>
            <w:r>
              <w:rPr>
                <w:rFonts w:hint="eastAsia" w:ascii="仿宋_GB2312" w:eastAsia="仿宋_GB2312" w:cs="仿宋_GB2312"/>
                <w:color w:val="000000"/>
                <w:sz w:val="24"/>
                <w:szCs w:val="24"/>
              </w:rPr>
              <w:t>双核）；内存：</w:t>
            </w:r>
            <w:r>
              <w:rPr>
                <w:rFonts w:ascii="仿宋_GB2312" w:eastAsia="仿宋_GB2312" w:cs="仿宋_GB2312"/>
                <w:color w:val="000000"/>
                <w:sz w:val="24"/>
                <w:szCs w:val="24"/>
              </w:rPr>
              <w:t>4GB DDR3</w:t>
            </w:r>
            <w:r>
              <w:rPr>
                <w:rFonts w:hint="eastAsia" w:ascii="仿宋_GB2312" w:eastAsia="仿宋_GB2312" w:cs="仿宋_GB2312"/>
                <w:color w:val="000000"/>
                <w:sz w:val="24"/>
                <w:szCs w:val="24"/>
              </w:rPr>
              <w:t>；硬盘</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w:t>
            </w:r>
            <w:r>
              <w:rPr>
                <w:rFonts w:ascii="仿宋_GB2312" w:eastAsia="仿宋_GB2312" w:cs="仿宋_GB2312"/>
                <w:color w:val="000000"/>
                <w:sz w:val="24"/>
                <w:szCs w:val="24"/>
              </w:rPr>
              <w:t>1TB  STAT</w:t>
            </w:r>
            <w:r>
              <w:rPr>
                <w:rFonts w:hint="eastAsia" w:ascii="仿宋_GB2312" w:eastAsia="仿宋_GB2312" w:cs="仿宋_GB2312"/>
                <w:color w:val="000000"/>
                <w:sz w:val="24"/>
                <w:szCs w:val="24"/>
              </w:rPr>
              <w:t>硬盘，操作系统：</w:t>
            </w:r>
            <w:r>
              <w:rPr>
                <w:rFonts w:ascii="仿宋_GB2312" w:eastAsia="仿宋_GB2312" w:cs="仿宋_GB2312"/>
                <w:color w:val="000000"/>
                <w:sz w:val="24"/>
                <w:szCs w:val="24"/>
              </w:rPr>
              <w:t xml:space="preserve"> win10 64</w:t>
            </w:r>
            <w:r>
              <w:rPr>
                <w:rFonts w:hint="eastAsia" w:ascii="仿宋_GB2312" w:eastAsia="仿宋_GB2312" w:cs="仿宋_GB2312"/>
                <w:color w:val="000000"/>
                <w:sz w:val="24"/>
                <w:szCs w:val="24"/>
              </w:rPr>
              <w:t>位操作系统。</w:t>
            </w:r>
            <w:r>
              <w:rPr>
                <w:rFonts w:ascii="仿宋_GB2312" w:eastAsia="仿宋_GB2312" w:cs="仿宋_GB2312"/>
                <w:color w:val="000000"/>
                <w:sz w:val="24"/>
                <w:szCs w:val="24"/>
              </w:rPr>
              <w:t>2</w:t>
            </w:r>
            <w:r>
              <w:rPr>
                <w:rFonts w:hint="eastAsia" w:ascii="仿宋_GB2312" w:eastAsia="仿宋_GB2312" w:cs="仿宋_GB2312"/>
                <w:color w:val="000000"/>
                <w:sz w:val="24"/>
                <w:szCs w:val="24"/>
              </w:rPr>
              <w:t>3</w:t>
            </w:r>
            <w:r>
              <w:rPr>
                <w:rFonts w:ascii="仿宋_GB2312" w:eastAsia="仿宋_GB2312" w:cs="仿宋_GB2312"/>
                <w:color w:val="000000"/>
                <w:sz w:val="24"/>
                <w:szCs w:val="24"/>
              </w:rPr>
              <w:t>.</w:t>
            </w:r>
            <w:r>
              <w:rPr>
                <w:rFonts w:hint="eastAsia" w:ascii="仿宋_GB2312" w:eastAsia="仿宋_GB2312" w:cs="仿宋_GB2312"/>
                <w:color w:val="000000"/>
                <w:sz w:val="24"/>
                <w:szCs w:val="24"/>
              </w:rPr>
              <w:t>8英寸</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宽屏显示器，有光驱。</w:t>
            </w:r>
          </w:p>
        </w:tc>
      </w:tr>
    </w:tbl>
    <w:p w14:paraId="41981073">
      <w:pPr>
        <w:adjustRightInd w:val="0"/>
        <w:snapToGrid w:val="0"/>
        <w:spacing w:line="360" w:lineRule="auto"/>
        <w:ind w:firstLine="482" w:firstLineChars="200"/>
        <w:rPr>
          <w:rFonts w:ascii="仿宋_GB2312" w:eastAsia="仿宋_GB2312"/>
          <w:b/>
          <w:bCs/>
          <w:color w:val="000000"/>
          <w:sz w:val="24"/>
          <w:szCs w:val="24"/>
        </w:rPr>
      </w:pPr>
      <w:r>
        <w:rPr>
          <w:rFonts w:hint="eastAsia" w:ascii="仿宋_GB2312" w:eastAsia="仿宋_GB2312" w:cs="仿宋_GB2312"/>
          <w:b/>
          <w:bCs/>
          <w:color w:val="000000"/>
          <w:sz w:val="24"/>
          <w:szCs w:val="24"/>
        </w:rPr>
        <w:t>（二）软件环境</w:t>
      </w:r>
    </w:p>
    <w:tbl>
      <w:tblPr>
        <w:tblStyle w:val="5"/>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351"/>
      </w:tblGrid>
      <w:tr w14:paraId="0EC1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55" w:type="dxa"/>
            <w:vAlign w:val="center"/>
          </w:tcPr>
          <w:p w14:paraId="34635A8F">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类别</w:t>
            </w:r>
          </w:p>
        </w:tc>
        <w:tc>
          <w:tcPr>
            <w:tcW w:w="7351" w:type="dxa"/>
            <w:vAlign w:val="center"/>
          </w:tcPr>
          <w:p w14:paraId="72C02DAB">
            <w:pPr>
              <w:adjustRightInd w:val="0"/>
              <w:snapToGrid w:val="0"/>
              <w:spacing w:line="360" w:lineRule="auto"/>
              <w:jc w:val="center"/>
              <w:rPr>
                <w:rFonts w:ascii="仿宋_GB2312" w:eastAsia="仿宋_GB2312"/>
                <w:color w:val="000000"/>
                <w:sz w:val="24"/>
                <w:szCs w:val="24"/>
              </w:rPr>
            </w:pPr>
            <w:r>
              <w:rPr>
                <w:rFonts w:hint="eastAsia" w:ascii="仿宋_GB2312" w:eastAsia="仿宋_GB2312" w:cs="仿宋_GB2312"/>
                <w:color w:val="000000"/>
                <w:sz w:val="24"/>
                <w:szCs w:val="24"/>
              </w:rPr>
              <w:t>描述</w:t>
            </w:r>
          </w:p>
        </w:tc>
      </w:tr>
      <w:tr w14:paraId="5316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555" w:type="dxa"/>
            <w:vAlign w:val="center"/>
          </w:tcPr>
          <w:p w14:paraId="2013C5BD">
            <w:pPr>
              <w:adjustRightInd w:val="0"/>
              <w:snapToGrid w:val="0"/>
              <w:spacing w:line="360" w:lineRule="auto"/>
              <w:ind w:firstLine="240" w:firstLineChars="100"/>
              <w:rPr>
                <w:rFonts w:ascii="仿宋_GB2312" w:eastAsia="仿宋_GB2312"/>
                <w:color w:val="000000"/>
                <w:sz w:val="24"/>
                <w:szCs w:val="24"/>
              </w:rPr>
            </w:pPr>
            <w:r>
              <w:rPr>
                <w:rFonts w:hint="eastAsia" w:ascii="仿宋_GB2312" w:eastAsia="仿宋_GB2312" w:cs="仿宋_GB2312"/>
                <w:color w:val="000000"/>
                <w:sz w:val="24"/>
                <w:szCs w:val="24"/>
              </w:rPr>
              <w:t>服务器</w:t>
            </w:r>
          </w:p>
        </w:tc>
        <w:tc>
          <w:tcPr>
            <w:tcW w:w="7351" w:type="dxa"/>
          </w:tcPr>
          <w:p w14:paraId="5C2B3A64">
            <w:pPr>
              <w:adjustRightInd w:val="0"/>
              <w:snapToGrid w:val="0"/>
              <w:spacing w:line="360" w:lineRule="auto"/>
              <w:rPr>
                <w:rFonts w:ascii="仿宋_GB2312" w:eastAsia="仿宋_GB2312"/>
                <w:color w:val="000000"/>
                <w:sz w:val="24"/>
                <w:szCs w:val="24"/>
              </w:rPr>
            </w:pPr>
            <w:r>
              <w:rPr>
                <w:rFonts w:ascii="仿宋_GB2312" w:eastAsia="仿宋_GB2312" w:cs="仿宋_GB2312"/>
                <w:color w:val="000000"/>
                <w:sz w:val="24"/>
                <w:szCs w:val="24"/>
              </w:rPr>
              <w:t>Windows  Server2008 64</w:t>
            </w:r>
            <w:r>
              <w:rPr>
                <w:rFonts w:hint="eastAsia" w:ascii="仿宋_GB2312" w:eastAsia="仿宋_GB2312" w:cs="仿宋_GB2312"/>
                <w:color w:val="000000"/>
                <w:sz w:val="24"/>
                <w:szCs w:val="24"/>
              </w:rPr>
              <w:t>位企业版；</w:t>
            </w:r>
            <w:r>
              <w:rPr>
                <w:rFonts w:ascii="仿宋_GB2312" w:eastAsia="仿宋_GB2312" w:cs="仿宋_GB2312"/>
                <w:color w:val="000000"/>
                <w:sz w:val="24"/>
                <w:szCs w:val="24"/>
              </w:rPr>
              <w:t>SQL Server 2008</w:t>
            </w:r>
            <w:r>
              <w:rPr>
                <w:rFonts w:hint="eastAsia" w:ascii="仿宋_GB2312" w:eastAsia="仿宋_GB2312" w:cs="仿宋_GB2312"/>
                <w:color w:val="000000"/>
                <w:sz w:val="24"/>
                <w:szCs w:val="24"/>
              </w:rPr>
              <w:t>数据库；</w:t>
            </w:r>
            <w:r>
              <w:rPr>
                <w:rFonts w:ascii="仿宋_GB2312" w:eastAsia="仿宋_GB2312" w:cs="仿宋_GB2312"/>
                <w:color w:val="000000"/>
                <w:sz w:val="24"/>
                <w:szCs w:val="24"/>
              </w:rPr>
              <w:t>MS Office 2016</w:t>
            </w:r>
            <w:r>
              <w:rPr>
                <w:rFonts w:hint="eastAsia" w:ascii="仿宋_GB2312" w:eastAsia="仿宋_GB2312" w:cs="仿宋_GB2312"/>
                <w:color w:val="000000"/>
                <w:sz w:val="24"/>
                <w:szCs w:val="24"/>
              </w:rPr>
              <w:t>中文版，含</w:t>
            </w:r>
            <w:r>
              <w:rPr>
                <w:rFonts w:ascii="仿宋_GB2312" w:eastAsia="仿宋_GB2312" w:cs="仿宋_GB2312"/>
                <w:color w:val="000000"/>
                <w:sz w:val="24"/>
                <w:szCs w:val="24"/>
              </w:rPr>
              <w:t>WORD</w:t>
            </w:r>
            <w:r>
              <w:rPr>
                <w:rFonts w:hint="eastAsia" w:ascii="仿宋_GB2312" w:eastAsia="仿宋_GB2312" w:cs="仿宋_GB2312"/>
                <w:color w:val="000000"/>
                <w:sz w:val="24"/>
                <w:szCs w:val="24"/>
              </w:rPr>
              <w:t>、</w:t>
            </w:r>
            <w:r>
              <w:rPr>
                <w:rFonts w:ascii="仿宋_GB2312" w:eastAsia="仿宋_GB2312" w:cs="仿宋_GB2312"/>
                <w:color w:val="000000"/>
                <w:sz w:val="24"/>
                <w:szCs w:val="24"/>
              </w:rPr>
              <w:t>EXCEL</w:t>
            </w:r>
            <w:r>
              <w:rPr>
                <w:rFonts w:hint="eastAsia" w:ascii="仿宋_GB2312" w:eastAsia="仿宋_GB2312" w:cs="仿宋_GB2312"/>
                <w:color w:val="000000"/>
                <w:sz w:val="24"/>
                <w:szCs w:val="24"/>
              </w:rPr>
              <w:t>和</w:t>
            </w:r>
            <w:r>
              <w:rPr>
                <w:rFonts w:ascii="仿宋_GB2312" w:eastAsia="仿宋_GB2312" w:cs="仿宋_GB2312"/>
                <w:color w:val="000000"/>
                <w:sz w:val="24"/>
                <w:szCs w:val="24"/>
              </w:rPr>
              <w:t>ACCESS)</w:t>
            </w:r>
            <w:r>
              <w:rPr>
                <w:rFonts w:hint="eastAsia" w:ascii="仿宋_GB2312" w:eastAsia="仿宋_GB2312" w:cs="仿宋_GB2312"/>
                <w:color w:val="000000"/>
                <w:sz w:val="24"/>
                <w:szCs w:val="24"/>
              </w:rPr>
              <w:t>；五笔、智能</w:t>
            </w:r>
            <w:r>
              <w:rPr>
                <w:rFonts w:ascii="仿宋_GB2312" w:eastAsia="仿宋_GB2312" w:cs="仿宋_GB2312"/>
                <w:color w:val="000000"/>
                <w:sz w:val="24"/>
                <w:szCs w:val="24"/>
              </w:rPr>
              <w:t>ABC</w:t>
            </w:r>
            <w:r>
              <w:rPr>
                <w:rFonts w:hint="eastAsia" w:ascii="仿宋_GB2312" w:eastAsia="仿宋_GB2312" w:cs="仿宋_GB2312"/>
                <w:color w:val="000000"/>
                <w:sz w:val="24"/>
                <w:szCs w:val="24"/>
              </w:rPr>
              <w:t>、微软、搜狗拼音等输入法。</w:t>
            </w:r>
          </w:p>
        </w:tc>
      </w:tr>
      <w:tr w14:paraId="73E9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55" w:type="dxa"/>
            <w:vAlign w:val="center"/>
          </w:tcPr>
          <w:p w14:paraId="3056E2BE">
            <w:pPr>
              <w:adjustRightInd w:val="0"/>
              <w:snapToGrid w:val="0"/>
              <w:spacing w:line="360" w:lineRule="auto"/>
              <w:ind w:firstLine="240" w:firstLineChars="100"/>
              <w:rPr>
                <w:rFonts w:ascii="仿宋_GB2312" w:eastAsia="仿宋_GB2312"/>
                <w:color w:val="000000"/>
                <w:sz w:val="24"/>
                <w:szCs w:val="24"/>
              </w:rPr>
            </w:pPr>
            <w:r>
              <w:rPr>
                <w:rFonts w:hint="eastAsia" w:ascii="仿宋_GB2312" w:eastAsia="仿宋_GB2312" w:cs="仿宋_GB2312"/>
                <w:color w:val="000000"/>
                <w:sz w:val="24"/>
                <w:szCs w:val="24"/>
              </w:rPr>
              <w:t>客户端</w:t>
            </w:r>
          </w:p>
        </w:tc>
        <w:tc>
          <w:tcPr>
            <w:tcW w:w="7351" w:type="dxa"/>
          </w:tcPr>
          <w:p w14:paraId="70D809F4">
            <w:pPr>
              <w:adjustRightInd w:val="0"/>
              <w:snapToGrid w:val="0"/>
              <w:spacing w:line="360" w:lineRule="auto"/>
              <w:rPr>
                <w:rFonts w:ascii="仿宋_GB2312" w:eastAsia="仿宋_GB2312"/>
                <w:color w:val="000000"/>
                <w:sz w:val="24"/>
                <w:szCs w:val="24"/>
              </w:rPr>
            </w:pPr>
            <w:r>
              <w:rPr>
                <w:rFonts w:ascii="仿宋_GB2312" w:eastAsia="仿宋_GB2312" w:cs="仿宋_GB2312"/>
                <w:sz w:val="24"/>
                <w:szCs w:val="24"/>
              </w:rPr>
              <w:t>Windows</w:t>
            </w:r>
            <w:r>
              <w:rPr>
                <w:rFonts w:hint="eastAsia" w:ascii="仿宋_GB2312" w:eastAsia="仿宋_GB2312" w:cs="仿宋_GB2312"/>
                <w:sz w:val="24"/>
                <w:szCs w:val="24"/>
              </w:rPr>
              <w:t>10</w:t>
            </w:r>
            <w:r>
              <w:rPr>
                <w:rFonts w:ascii="仿宋_GB2312" w:eastAsia="仿宋_GB2312" w:cs="仿宋_GB2312"/>
                <w:sz w:val="24"/>
                <w:szCs w:val="24"/>
              </w:rPr>
              <w:t xml:space="preserve"> </w:t>
            </w:r>
            <w:r>
              <w:rPr>
                <w:rFonts w:hint="eastAsia" w:ascii="仿宋_GB2312" w:eastAsia="仿宋_GB2312" w:cs="仿宋_GB2312"/>
                <w:sz w:val="24"/>
                <w:szCs w:val="24"/>
              </w:rPr>
              <w:t>64位操作系统；</w:t>
            </w:r>
            <w:r>
              <w:rPr>
                <w:rFonts w:ascii="仿宋_GB2312" w:eastAsia="仿宋_GB2312" w:cs="仿宋_GB2312"/>
                <w:sz w:val="24"/>
                <w:szCs w:val="24"/>
              </w:rPr>
              <w:t>SQL Server 2008</w:t>
            </w:r>
            <w:r>
              <w:rPr>
                <w:rFonts w:hint="eastAsia" w:ascii="仿宋_GB2312" w:eastAsia="仿宋_GB2312" w:cs="仿宋_GB2312"/>
                <w:sz w:val="24"/>
                <w:szCs w:val="24"/>
              </w:rPr>
              <w:t>数据库；</w:t>
            </w:r>
            <w:r>
              <w:rPr>
                <w:rFonts w:ascii="仿宋_GB2312" w:eastAsia="仿宋_GB2312" w:cs="仿宋_GB2312"/>
                <w:sz w:val="24"/>
                <w:szCs w:val="24"/>
              </w:rPr>
              <w:t>MS Office 2016</w:t>
            </w:r>
            <w:r>
              <w:rPr>
                <w:rFonts w:hint="eastAsia" w:ascii="仿宋_GB2312" w:eastAsia="仿宋_GB2312" w:cs="仿宋_GB2312"/>
                <w:sz w:val="24"/>
                <w:szCs w:val="24"/>
              </w:rPr>
              <w:t>（中文版，含</w:t>
            </w:r>
            <w:r>
              <w:rPr>
                <w:rFonts w:ascii="仿宋_GB2312" w:eastAsia="仿宋_GB2312" w:cs="仿宋_GB2312"/>
                <w:sz w:val="24"/>
                <w:szCs w:val="24"/>
              </w:rPr>
              <w:t>WORD</w:t>
            </w:r>
            <w:r>
              <w:rPr>
                <w:rFonts w:hint="eastAsia" w:ascii="仿宋_GB2312" w:eastAsia="仿宋_GB2312" w:cs="仿宋_GB2312"/>
                <w:sz w:val="24"/>
                <w:szCs w:val="24"/>
              </w:rPr>
              <w:t>、</w:t>
            </w:r>
            <w:r>
              <w:rPr>
                <w:rFonts w:ascii="仿宋_GB2312" w:eastAsia="仿宋_GB2312" w:cs="仿宋_GB2312"/>
                <w:sz w:val="24"/>
                <w:szCs w:val="24"/>
              </w:rPr>
              <w:t>EXCEL</w:t>
            </w:r>
            <w:r>
              <w:rPr>
                <w:rFonts w:hint="eastAsia" w:ascii="仿宋_GB2312" w:eastAsia="仿宋_GB2312" w:cs="仿宋_GB2312"/>
                <w:sz w:val="24"/>
                <w:szCs w:val="24"/>
              </w:rPr>
              <w:t>和</w:t>
            </w:r>
            <w:r>
              <w:rPr>
                <w:rFonts w:ascii="仿宋_GB2312" w:eastAsia="仿宋_GB2312" w:cs="仿宋_GB2312"/>
                <w:sz w:val="24"/>
                <w:szCs w:val="24"/>
              </w:rPr>
              <w:t>ACCESS</w:t>
            </w:r>
            <w:r>
              <w:rPr>
                <w:rFonts w:hint="eastAsia" w:ascii="仿宋_GB2312" w:eastAsia="仿宋_GB2312" w:cs="仿宋_GB2312"/>
                <w:sz w:val="24"/>
                <w:szCs w:val="24"/>
              </w:rPr>
              <w:t>）；五笔、智能</w:t>
            </w:r>
            <w:r>
              <w:rPr>
                <w:rFonts w:ascii="仿宋_GB2312" w:eastAsia="仿宋_GB2312" w:cs="仿宋_GB2312"/>
                <w:sz w:val="24"/>
                <w:szCs w:val="24"/>
              </w:rPr>
              <w:t>ABC</w:t>
            </w:r>
            <w:r>
              <w:rPr>
                <w:rFonts w:hint="eastAsia" w:ascii="仿宋_GB2312" w:eastAsia="仿宋_GB2312" w:cs="仿宋_GB2312"/>
                <w:sz w:val="24"/>
                <w:szCs w:val="24"/>
              </w:rPr>
              <w:t>、微软拼音、搜狗拼音等输入法。</w:t>
            </w:r>
          </w:p>
        </w:tc>
      </w:tr>
    </w:tbl>
    <w:p w14:paraId="58C59627">
      <w:pPr>
        <w:adjustRightInd w:val="0"/>
        <w:snapToGrid w:val="0"/>
        <w:spacing w:line="360" w:lineRule="auto"/>
        <w:ind w:firstLine="482" w:firstLineChars="200"/>
        <w:rPr>
          <w:rFonts w:ascii="仿宋_GB2312" w:eastAsia="仿宋_GB2312"/>
          <w:b/>
          <w:bCs/>
          <w:color w:val="000000"/>
          <w:sz w:val="24"/>
          <w:szCs w:val="24"/>
        </w:rPr>
      </w:pPr>
      <w:r>
        <w:rPr>
          <w:rFonts w:hint="eastAsia" w:ascii="仿宋_GB2312" w:eastAsia="仿宋_GB2312" w:cs="仿宋_GB2312"/>
          <w:b/>
          <w:bCs/>
          <w:color w:val="000000"/>
          <w:sz w:val="24"/>
          <w:szCs w:val="24"/>
        </w:rPr>
        <w:t>（三）竞赛平台</w:t>
      </w:r>
    </w:p>
    <w:tbl>
      <w:tblPr>
        <w:tblStyle w:val="5"/>
        <w:tblW w:w="8847" w:type="dxa"/>
        <w:jc w:val="center"/>
        <w:tblLayout w:type="fixed"/>
        <w:tblCellMar>
          <w:top w:w="0" w:type="dxa"/>
          <w:left w:w="108" w:type="dxa"/>
          <w:bottom w:w="0" w:type="dxa"/>
          <w:right w:w="108" w:type="dxa"/>
        </w:tblCellMar>
      </w:tblPr>
      <w:tblGrid>
        <w:gridCol w:w="1538"/>
        <w:gridCol w:w="7309"/>
      </w:tblGrid>
      <w:tr w14:paraId="7232752D">
        <w:tblPrEx>
          <w:tblCellMar>
            <w:top w:w="0" w:type="dxa"/>
            <w:left w:w="108" w:type="dxa"/>
            <w:bottom w:w="0" w:type="dxa"/>
            <w:right w:w="108" w:type="dxa"/>
          </w:tblCellMar>
        </w:tblPrEx>
        <w:trPr>
          <w:trHeight w:val="404" w:hRule="atLeast"/>
          <w:jc w:val="center"/>
        </w:trPr>
        <w:tc>
          <w:tcPr>
            <w:tcW w:w="1538" w:type="dxa"/>
            <w:tcBorders>
              <w:top w:val="single" w:color="auto" w:sz="4" w:space="0"/>
              <w:left w:val="single" w:color="auto" w:sz="4" w:space="0"/>
              <w:bottom w:val="single" w:color="auto" w:sz="4" w:space="0"/>
              <w:right w:val="single" w:color="auto" w:sz="4" w:space="0"/>
            </w:tcBorders>
          </w:tcPr>
          <w:p w14:paraId="765F2251">
            <w:pPr>
              <w:spacing w:line="360" w:lineRule="auto"/>
              <w:ind w:firstLine="480" w:firstLineChars="200"/>
              <w:rPr>
                <w:rFonts w:ascii="仿宋_GB2312" w:hAnsi="仿宋" w:eastAsia="仿宋_GB2312"/>
                <w:color w:val="000000"/>
                <w:sz w:val="24"/>
                <w:szCs w:val="24"/>
              </w:rPr>
            </w:pPr>
            <w:r>
              <w:rPr>
                <w:rFonts w:hint="eastAsia" w:ascii="仿宋_GB2312" w:hAnsi="仿宋" w:eastAsia="仿宋_GB2312" w:cs="仿宋_GB2312"/>
                <w:color w:val="000000"/>
                <w:sz w:val="24"/>
                <w:szCs w:val="24"/>
              </w:rPr>
              <w:t>类别</w:t>
            </w:r>
          </w:p>
        </w:tc>
        <w:tc>
          <w:tcPr>
            <w:tcW w:w="7309" w:type="dxa"/>
            <w:tcBorders>
              <w:top w:val="single" w:color="auto" w:sz="4" w:space="0"/>
              <w:left w:val="single" w:color="auto" w:sz="4" w:space="0"/>
              <w:bottom w:val="single" w:color="auto" w:sz="4" w:space="0"/>
              <w:right w:val="single" w:color="auto" w:sz="4" w:space="0"/>
            </w:tcBorders>
            <w:vAlign w:val="center"/>
          </w:tcPr>
          <w:p w14:paraId="3660522F">
            <w:pPr>
              <w:spacing w:line="360" w:lineRule="auto"/>
              <w:ind w:firstLine="480" w:firstLineChars="200"/>
              <w:jc w:val="center"/>
              <w:rPr>
                <w:rFonts w:ascii="仿宋_GB2312" w:hAnsi="仿宋" w:eastAsia="仿宋_GB2312"/>
                <w:color w:val="000000"/>
                <w:sz w:val="24"/>
                <w:szCs w:val="24"/>
              </w:rPr>
            </w:pPr>
            <w:r>
              <w:rPr>
                <w:rFonts w:hint="eastAsia" w:ascii="仿宋_GB2312" w:hAnsi="仿宋" w:eastAsia="仿宋_GB2312" w:cs="仿宋_GB2312"/>
                <w:color w:val="000000"/>
                <w:sz w:val="24"/>
                <w:szCs w:val="24"/>
              </w:rPr>
              <w:t>描述</w:t>
            </w:r>
          </w:p>
        </w:tc>
      </w:tr>
      <w:tr w14:paraId="13E74284">
        <w:tblPrEx>
          <w:tblCellMar>
            <w:top w:w="0" w:type="dxa"/>
            <w:left w:w="108" w:type="dxa"/>
            <w:bottom w:w="0" w:type="dxa"/>
            <w:right w:w="108" w:type="dxa"/>
          </w:tblCellMar>
        </w:tblPrEx>
        <w:trPr>
          <w:trHeight w:val="27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3BCA9354">
            <w:pPr>
              <w:spacing w:line="360" w:lineRule="auto"/>
              <w:rPr>
                <w:rFonts w:ascii="仿宋_GB2312" w:hAnsi="仿宋" w:eastAsia="仿宋_GB2312"/>
                <w:color w:val="000000"/>
                <w:sz w:val="24"/>
                <w:szCs w:val="24"/>
              </w:rPr>
            </w:pPr>
            <w:bookmarkStart w:id="0" w:name="_Hlk461045051"/>
            <w:r>
              <w:rPr>
                <w:rFonts w:hint="eastAsia" w:ascii="仿宋_GB2312" w:hAnsi="仿宋" w:eastAsia="仿宋_GB2312" w:cs="仿宋_GB2312"/>
                <w:color w:val="000000"/>
                <w:sz w:val="24"/>
                <w:szCs w:val="24"/>
              </w:rPr>
              <w:t>现代企业云数字服务</w:t>
            </w:r>
          </w:p>
        </w:tc>
        <w:tc>
          <w:tcPr>
            <w:tcW w:w="7309" w:type="dxa"/>
            <w:tcBorders>
              <w:top w:val="single" w:color="auto" w:sz="4" w:space="0"/>
              <w:left w:val="single" w:color="auto" w:sz="4" w:space="0"/>
              <w:bottom w:val="single" w:color="auto" w:sz="4" w:space="0"/>
              <w:right w:val="single" w:color="auto" w:sz="4" w:space="0"/>
            </w:tcBorders>
            <w:vAlign w:val="center"/>
          </w:tcPr>
          <w:p w14:paraId="599EC6CA">
            <w:pPr>
              <w:adjustRightInd w:val="0"/>
              <w:snapToGrid w:val="0"/>
              <w:spacing w:line="360" w:lineRule="auto"/>
              <w:jc w:val="left"/>
              <w:rPr>
                <w:rFonts w:ascii="仿宋_GB2312" w:eastAsia="仿宋_GB2312"/>
                <w:color w:val="000000"/>
                <w:sz w:val="24"/>
                <w:szCs w:val="24"/>
              </w:rPr>
            </w:pPr>
            <w:r>
              <w:rPr>
                <w:rFonts w:hint="eastAsia" w:ascii="仿宋_GB2312" w:eastAsia="仿宋_GB2312" w:cs="仿宋_GB2312"/>
                <w:sz w:val="24"/>
                <w:szCs w:val="24"/>
              </w:rPr>
              <w:t>比赛系统采用 新道教育财税云平台软件进行初始化和业务处理操作</w:t>
            </w:r>
            <w:r>
              <w:rPr>
                <w:rFonts w:hint="eastAsia" w:ascii="仿宋_GB2312" w:eastAsia="仿宋_GB2312" w:cs="仿宋_GB2312"/>
                <w:color w:val="000000"/>
                <w:sz w:val="24"/>
                <w:szCs w:val="24"/>
              </w:rPr>
              <w:t>，参赛选手的操作结果均保存在服务器上。评分系统功能包括操作结果的自动评判、成绩采集等。</w:t>
            </w:r>
          </w:p>
        </w:tc>
      </w:tr>
      <w:bookmarkEnd w:id="0"/>
    </w:tbl>
    <w:p w14:paraId="52C9C3D1">
      <w:pPr>
        <w:adjustRightInd w:val="0"/>
        <w:snapToGrid w:val="0"/>
        <w:spacing w:before="156" w:beforeLines="50" w:line="360" w:lineRule="auto"/>
        <w:ind w:firstLine="480" w:firstLineChars="200"/>
        <w:rPr>
          <w:rFonts w:ascii="黑体" w:hAnsi="黑体" w:eastAsia="黑体"/>
          <w:color w:val="000000"/>
          <w:sz w:val="24"/>
          <w:szCs w:val="24"/>
        </w:rPr>
      </w:pPr>
      <w:r>
        <w:rPr>
          <w:rFonts w:hint="eastAsia" w:ascii="黑体" w:hAnsi="黑体" w:eastAsia="黑体" w:cs="黑体"/>
          <w:color w:val="000000"/>
          <w:sz w:val="24"/>
          <w:szCs w:val="24"/>
          <w:lang w:val="en-US" w:eastAsia="zh-CN"/>
        </w:rPr>
        <w:t>九</w:t>
      </w:r>
      <w:r>
        <w:rPr>
          <w:rFonts w:hint="eastAsia" w:ascii="黑体" w:hAnsi="黑体" w:eastAsia="黑体" w:cs="黑体"/>
          <w:color w:val="000000"/>
          <w:sz w:val="24"/>
          <w:szCs w:val="24"/>
        </w:rPr>
        <w:t>、成绩评定</w:t>
      </w:r>
    </w:p>
    <w:p w14:paraId="4075F26C">
      <w:pPr>
        <w:adjustRightInd w:val="0"/>
        <w:snapToGrid w:val="0"/>
        <w:spacing w:line="360" w:lineRule="auto"/>
        <w:ind w:firstLine="482" w:firstLineChars="200"/>
        <w:rPr>
          <w:rFonts w:ascii="仿宋_GB2312" w:eastAsia="仿宋_GB2312"/>
          <w:b/>
          <w:bCs/>
          <w:color w:val="000000"/>
          <w:sz w:val="24"/>
          <w:szCs w:val="24"/>
        </w:rPr>
      </w:pPr>
      <w:r>
        <w:rPr>
          <w:rFonts w:hint="eastAsia" w:ascii="仿宋_GB2312" w:eastAsia="仿宋_GB2312" w:cs="仿宋_GB2312"/>
          <w:b/>
          <w:bCs/>
          <w:color w:val="000000"/>
          <w:sz w:val="24"/>
          <w:szCs w:val="24"/>
        </w:rPr>
        <w:t>（一）评分标准</w:t>
      </w:r>
    </w:p>
    <w:p w14:paraId="7A09A1CE">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竞赛评分本着公平、公正、公开的原则，以技能考核为主，兼顾职业道德素养综合评定。</w:t>
      </w:r>
    </w:p>
    <w:tbl>
      <w:tblPr>
        <w:tblStyle w:val="5"/>
        <w:tblW w:w="5339" w:type="pct"/>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59"/>
        <w:gridCol w:w="2588"/>
        <w:gridCol w:w="2924"/>
        <w:gridCol w:w="1002"/>
        <w:gridCol w:w="1107"/>
      </w:tblGrid>
      <w:tr w14:paraId="1BB3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709" w:type="pct"/>
            <w:vAlign w:val="center"/>
          </w:tcPr>
          <w:p w14:paraId="3DAC3FCA">
            <w:pPr>
              <w:widowControl/>
              <w:snapToGrid w:val="0"/>
              <w:spacing w:line="360" w:lineRule="auto"/>
              <w:jc w:val="center"/>
              <w:rPr>
                <w:rFonts w:ascii="仿宋_GB2312" w:hAnsi="仿宋" w:eastAsia="仿宋_GB2312"/>
                <w:b/>
                <w:bCs/>
                <w:color w:val="000000"/>
                <w:kern w:val="0"/>
                <w:sz w:val="24"/>
                <w:szCs w:val="24"/>
              </w:rPr>
            </w:pPr>
            <w:r>
              <w:rPr>
                <w:rFonts w:hint="eastAsia" w:ascii="仿宋_GB2312" w:hAnsi="仿宋" w:eastAsia="仿宋_GB2312" w:cs="仿宋_GB2312"/>
                <w:b/>
                <w:bCs/>
                <w:color w:val="000000"/>
                <w:kern w:val="0"/>
                <w:sz w:val="24"/>
                <w:szCs w:val="24"/>
              </w:rPr>
              <w:t>竞赛内容</w:t>
            </w:r>
          </w:p>
        </w:tc>
        <w:tc>
          <w:tcPr>
            <w:tcW w:w="1457" w:type="pct"/>
            <w:vAlign w:val="center"/>
          </w:tcPr>
          <w:p w14:paraId="1FA37C4F">
            <w:pPr>
              <w:widowControl/>
              <w:snapToGrid w:val="0"/>
              <w:spacing w:line="360" w:lineRule="auto"/>
              <w:jc w:val="center"/>
              <w:rPr>
                <w:rFonts w:ascii="仿宋_GB2312" w:hAnsi="仿宋" w:eastAsia="仿宋_GB2312"/>
                <w:b/>
                <w:bCs/>
                <w:color w:val="000000"/>
                <w:kern w:val="0"/>
                <w:sz w:val="24"/>
                <w:szCs w:val="24"/>
              </w:rPr>
            </w:pPr>
            <w:r>
              <w:rPr>
                <w:rFonts w:hint="eastAsia" w:ascii="仿宋_GB2312" w:hAnsi="仿宋" w:eastAsia="仿宋_GB2312" w:cs="仿宋_GB2312"/>
                <w:b/>
                <w:bCs/>
                <w:color w:val="000000"/>
                <w:kern w:val="0"/>
                <w:sz w:val="24"/>
                <w:szCs w:val="24"/>
              </w:rPr>
              <w:t>技术要求</w:t>
            </w:r>
          </w:p>
        </w:tc>
        <w:tc>
          <w:tcPr>
            <w:tcW w:w="1646" w:type="pct"/>
            <w:vAlign w:val="center"/>
          </w:tcPr>
          <w:p w14:paraId="126500E6">
            <w:pPr>
              <w:widowControl/>
              <w:snapToGrid w:val="0"/>
              <w:spacing w:line="360" w:lineRule="auto"/>
              <w:jc w:val="center"/>
              <w:rPr>
                <w:rFonts w:ascii="仿宋_GB2312" w:hAnsi="仿宋" w:eastAsia="仿宋_GB2312"/>
                <w:b/>
                <w:bCs/>
                <w:color w:val="000000"/>
                <w:kern w:val="0"/>
                <w:sz w:val="24"/>
                <w:szCs w:val="24"/>
              </w:rPr>
            </w:pPr>
            <w:r>
              <w:rPr>
                <w:rFonts w:hint="eastAsia" w:ascii="仿宋_GB2312" w:hAnsi="仿宋" w:eastAsia="仿宋_GB2312" w:cs="仿宋_GB2312"/>
                <w:b/>
                <w:bCs/>
                <w:color w:val="000000"/>
                <w:kern w:val="0"/>
                <w:sz w:val="24"/>
                <w:szCs w:val="24"/>
              </w:rPr>
              <w:t>评分规则</w:t>
            </w:r>
          </w:p>
        </w:tc>
        <w:tc>
          <w:tcPr>
            <w:tcW w:w="564" w:type="pct"/>
            <w:vAlign w:val="center"/>
          </w:tcPr>
          <w:p w14:paraId="3466B056">
            <w:pPr>
              <w:widowControl/>
              <w:snapToGrid w:val="0"/>
              <w:spacing w:line="360" w:lineRule="auto"/>
              <w:jc w:val="center"/>
              <w:rPr>
                <w:rFonts w:ascii="仿宋_GB2312" w:hAnsi="仿宋" w:eastAsia="仿宋_GB2312"/>
                <w:b/>
                <w:bCs/>
                <w:color w:val="000000"/>
                <w:kern w:val="0"/>
                <w:sz w:val="24"/>
                <w:szCs w:val="24"/>
              </w:rPr>
            </w:pPr>
            <w:r>
              <w:rPr>
                <w:rFonts w:hint="eastAsia" w:ascii="仿宋_GB2312" w:hAnsi="仿宋" w:eastAsia="仿宋_GB2312" w:cs="仿宋_GB2312"/>
                <w:b/>
                <w:bCs/>
                <w:color w:val="000000"/>
                <w:kern w:val="0"/>
                <w:sz w:val="24"/>
                <w:szCs w:val="24"/>
              </w:rPr>
              <w:t>参考分值</w:t>
            </w:r>
          </w:p>
        </w:tc>
        <w:tc>
          <w:tcPr>
            <w:tcW w:w="622" w:type="pct"/>
            <w:vAlign w:val="center"/>
          </w:tcPr>
          <w:p w14:paraId="2747AE95">
            <w:pPr>
              <w:widowControl/>
              <w:snapToGrid w:val="0"/>
              <w:spacing w:line="360" w:lineRule="auto"/>
              <w:jc w:val="center"/>
              <w:rPr>
                <w:rFonts w:ascii="仿宋_GB2312" w:hAnsi="仿宋" w:eastAsia="仿宋_GB2312"/>
                <w:b/>
                <w:bCs/>
                <w:color w:val="000000"/>
                <w:kern w:val="0"/>
                <w:sz w:val="24"/>
                <w:szCs w:val="24"/>
              </w:rPr>
            </w:pPr>
            <w:r>
              <w:rPr>
                <w:rFonts w:hint="eastAsia" w:ascii="仿宋_GB2312" w:hAnsi="仿宋" w:eastAsia="仿宋_GB2312" w:cs="仿宋_GB2312"/>
                <w:b/>
                <w:bCs/>
                <w:color w:val="000000"/>
                <w:kern w:val="0"/>
                <w:sz w:val="24"/>
                <w:szCs w:val="24"/>
              </w:rPr>
              <w:t>评分方式</w:t>
            </w:r>
          </w:p>
        </w:tc>
      </w:tr>
      <w:tr w14:paraId="21EB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709" w:type="pct"/>
            <w:vAlign w:val="center"/>
          </w:tcPr>
          <w:p w14:paraId="37842171">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初始设置</w:t>
            </w:r>
          </w:p>
        </w:tc>
        <w:tc>
          <w:tcPr>
            <w:tcW w:w="1457" w:type="pct"/>
            <w:vAlign w:val="center"/>
          </w:tcPr>
          <w:p w14:paraId="5D25A8C8">
            <w:pPr>
              <w:widowControl/>
              <w:spacing w:line="360" w:lineRule="auto"/>
              <w:jc w:val="center"/>
              <w:outlineLvl w:val="0"/>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按照题目要求进行初始置</w:t>
            </w:r>
          </w:p>
        </w:tc>
        <w:tc>
          <w:tcPr>
            <w:tcW w:w="1646" w:type="pct"/>
            <w:vAlign w:val="center"/>
          </w:tcPr>
          <w:p w14:paraId="7CA1DB98">
            <w:pPr>
              <w:widowControl/>
              <w:spacing w:line="360" w:lineRule="auto"/>
              <w:jc w:val="center"/>
              <w:outlineLvl w:val="0"/>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根据初始设置的内容进行评分</w:t>
            </w:r>
          </w:p>
        </w:tc>
        <w:tc>
          <w:tcPr>
            <w:tcW w:w="564" w:type="pct"/>
            <w:vAlign w:val="center"/>
          </w:tcPr>
          <w:p w14:paraId="52C3729C">
            <w:pPr>
              <w:spacing w:line="360" w:lineRule="auto"/>
              <w:jc w:val="center"/>
              <w:rPr>
                <w:rFonts w:ascii="仿宋_GB2312" w:eastAsia="仿宋_GB2312" w:cs="仿宋_GB2312"/>
                <w:color w:val="000000"/>
                <w:sz w:val="24"/>
                <w:szCs w:val="24"/>
              </w:rPr>
            </w:pPr>
            <w:r>
              <w:rPr>
                <w:rFonts w:ascii="仿宋_GB2312" w:eastAsia="仿宋_GB2312" w:cs="仿宋_GB2312"/>
                <w:color w:val="000000"/>
                <w:sz w:val="24"/>
                <w:szCs w:val="24"/>
              </w:rPr>
              <w:t>15</w:t>
            </w:r>
          </w:p>
        </w:tc>
        <w:tc>
          <w:tcPr>
            <w:tcW w:w="622" w:type="pct"/>
            <w:vAlign w:val="center"/>
          </w:tcPr>
          <w:p w14:paraId="3EABB067">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系统</w:t>
            </w:r>
          </w:p>
        </w:tc>
      </w:tr>
      <w:tr w14:paraId="027B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709" w:type="pct"/>
            <w:vAlign w:val="center"/>
          </w:tcPr>
          <w:p w14:paraId="371CD7D8">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会计凭证填制（或生成）</w:t>
            </w:r>
          </w:p>
        </w:tc>
        <w:tc>
          <w:tcPr>
            <w:tcW w:w="1457" w:type="pct"/>
            <w:vAlign w:val="center"/>
          </w:tcPr>
          <w:p w14:paraId="751587E3">
            <w:pPr>
              <w:widowControl/>
              <w:spacing w:line="360" w:lineRule="auto"/>
              <w:jc w:val="center"/>
              <w:outlineLvl w:val="0"/>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按照题目要求填制、审核或填制原始凭证、编制或生成记账凭证</w:t>
            </w:r>
          </w:p>
        </w:tc>
        <w:tc>
          <w:tcPr>
            <w:tcW w:w="1646" w:type="pct"/>
            <w:vAlign w:val="center"/>
          </w:tcPr>
          <w:p w14:paraId="3D428C17">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根据原始凭证填制和审核，记账凭证填制或生成的内容（种类、日期、附件张数、借贷方科目、借贷方金额、辅助核算信息等）进行评分</w:t>
            </w:r>
          </w:p>
        </w:tc>
        <w:tc>
          <w:tcPr>
            <w:tcW w:w="564" w:type="pct"/>
            <w:vAlign w:val="center"/>
          </w:tcPr>
          <w:p w14:paraId="59B64FC3">
            <w:pPr>
              <w:spacing w:line="360" w:lineRule="auto"/>
              <w:ind w:firstLine="480" w:firstLineChars="200"/>
              <w:rPr>
                <w:rFonts w:ascii="仿宋_GB2312" w:eastAsia="仿宋_GB2312" w:cs="仿宋_GB2312"/>
                <w:color w:val="000000"/>
                <w:sz w:val="24"/>
                <w:szCs w:val="24"/>
              </w:rPr>
            </w:pPr>
            <w:r>
              <w:rPr>
                <w:rFonts w:ascii="仿宋_GB2312" w:eastAsia="仿宋_GB2312" w:cs="仿宋_GB2312"/>
                <w:color w:val="000000"/>
                <w:sz w:val="24"/>
                <w:szCs w:val="24"/>
              </w:rPr>
              <w:t>6</w:t>
            </w:r>
            <w:r>
              <w:rPr>
                <w:rFonts w:hint="eastAsia" w:ascii="仿宋_GB2312" w:eastAsia="仿宋_GB2312" w:cs="仿宋_GB2312"/>
                <w:color w:val="000000"/>
                <w:sz w:val="24"/>
                <w:szCs w:val="24"/>
              </w:rPr>
              <w:t>5</w:t>
            </w:r>
          </w:p>
        </w:tc>
        <w:tc>
          <w:tcPr>
            <w:tcW w:w="622" w:type="pct"/>
            <w:vAlign w:val="center"/>
          </w:tcPr>
          <w:p w14:paraId="0EB51887">
            <w:pPr>
              <w:widowControl/>
              <w:snapToGrid w:val="0"/>
              <w:spacing w:line="360" w:lineRule="auto"/>
              <w:ind w:firstLine="240" w:firstLineChars="100"/>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系统</w:t>
            </w:r>
          </w:p>
        </w:tc>
      </w:tr>
      <w:tr w14:paraId="4B27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709" w:type="pct"/>
            <w:vAlign w:val="center"/>
          </w:tcPr>
          <w:p w14:paraId="57D50B83">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凭证审核</w:t>
            </w:r>
          </w:p>
        </w:tc>
        <w:tc>
          <w:tcPr>
            <w:tcW w:w="1457" w:type="pct"/>
            <w:vAlign w:val="center"/>
          </w:tcPr>
          <w:p w14:paraId="3CA50286">
            <w:pPr>
              <w:widowControl/>
              <w:spacing w:line="360" w:lineRule="auto"/>
              <w:jc w:val="center"/>
              <w:outlineLvl w:val="0"/>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按照业务处理要求进行记账凭证审核</w:t>
            </w:r>
          </w:p>
        </w:tc>
        <w:tc>
          <w:tcPr>
            <w:tcW w:w="1646" w:type="pct"/>
            <w:vAlign w:val="center"/>
          </w:tcPr>
          <w:p w14:paraId="40214DD4">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根据凭证审核过程进行评分</w:t>
            </w:r>
          </w:p>
        </w:tc>
        <w:tc>
          <w:tcPr>
            <w:tcW w:w="564" w:type="pct"/>
            <w:vMerge w:val="restart"/>
            <w:vAlign w:val="center"/>
          </w:tcPr>
          <w:p w14:paraId="160CC93F">
            <w:pPr>
              <w:spacing w:line="360" w:lineRule="auto"/>
              <w:ind w:firstLine="480" w:firstLineChars="200"/>
              <w:rPr>
                <w:rFonts w:ascii="仿宋_GB2312" w:eastAsia="仿宋_GB2312" w:cs="仿宋_GB2312"/>
                <w:color w:val="000000"/>
                <w:sz w:val="24"/>
                <w:szCs w:val="24"/>
              </w:rPr>
            </w:pPr>
            <w:r>
              <w:rPr>
                <w:rFonts w:hint="eastAsia" w:ascii="仿宋_GB2312" w:eastAsia="仿宋_GB2312" w:cs="仿宋_GB2312"/>
                <w:color w:val="000000"/>
                <w:sz w:val="24"/>
                <w:szCs w:val="24"/>
              </w:rPr>
              <w:t>5</w:t>
            </w:r>
          </w:p>
        </w:tc>
        <w:tc>
          <w:tcPr>
            <w:tcW w:w="622" w:type="pct"/>
            <w:vMerge w:val="restart"/>
            <w:vAlign w:val="center"/>
          </w:tcPr>
          <w:p w14:paraId="04B16375">
            <w:pPr>
              <w:widowControl/>
              <w:snapToGrid w:val="0"/>
              <w:spacing w:line="360" w:lineRule="auto"/>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系统</w:t>
            </w:r>
          </w:p>
        </w:tc>
      </w:tr>
      <w:tr w14:paraId="28E2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709" w:type="pct"/>
            <w:vAlign w:val="center"/>
          </w:tcPr>
          <w:p w14:paraId="002C782D">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记账</w:t>
            </w:r>
          </w:p>
        </w:tc>
        <w:tc>
          <w:tcPr>
            <w:tcW w:w="1457" w:type="pct"/>
            <w:vAlign w:val="center"/>
          </w:tcPr>
          <w:p w14:paraId="1931CA9E">
            <w:pPr>
              <w:widowControl/>
              <w:spacing w:line="360" w:lineRule="auto"/>
              <w:jc w:val="center"/>
              <w:outlineLvl w:val="0"/>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按照业务处理要求进行账</w:t>
            </w:r>
          </w:p>
        </w:tc>
        <w:tc>
          <w:tcPr>
            <w:tcW w:w="1646" w:type="pct"/>
            <w:vAlign w:val="center"/>
          </w:tcPr>
          <w:p w14:paraId="39FBF295">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根据记账的过程进行评分</w:t>
            </w:r>
          </w:p>
        </w:tc>
        <w:tc>
          <w:tcPr>
            <w:tcW w:w="564" w:type="pct"/>
            <w:vMerge w:val="continue"/>
            <w:vAlign w:val="center"/>
          </w:tcPr>
          <w:p w14:paraId="57CF9F25">
            <w:pPr>
              <w:spacing w:line="360" w:lineRule="auto"/>
              <w:ind w:firstLine="480" w:firstLineChars="200"/>
              <w:jc w:val="center"/>
              <w:rPr>
                <w:rFonts w:ascii="仿宋_GB2312" w:eastAsia="仿宋_GB2312"/>
                <w:color w:val="000000"/>
                <w:sz w:val="24"/>
                <w:szCs w:val="24"/>
              </w:rPr>
            </w:pPr>
          </w:p>
        </w:tc>
        <w:tc>
          <w:tcPr>
            <w:tcW w:w="622" w:type="pct"/>
            <w:vMerge w:val="continue"/>
            <w:vAlign w:val="center"/>
          </w:tcPr>
          <w:p w14:paraId="5ECA8E34">
            <w:pPr>
              <w:widowControl/>
              <w:snapToGrid w:val="0"/>
              <w:spacing w:line="360" w:lineRule="auto"/>
              <w:ind w:firstLine="480" w:firstLineChars="200"/>
              <w:jc w:val="center"/>
              <w:rPr>
                <w:rFonts w:ascii="仿宋_GB2312" w:hAnsi="仿宋" w:eastAsia="仿宋_GB2312"/>
                <w:color w:val="000000"/>
                <w:kern w:val="0"/>
                <w:sz w:val="24"/>
                <w:szCs w:val="24"/>
              </w:rPr>
            </w:pPr>
          </w:p>
        </w:tc>
      </w:tr>
      <w:tr w14:paraId="4872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709" w:type="pct"/>
            <w:vAlign w:val="center"/>
          </w:tcPr>
          <w:p w14:paraId="39820C94">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对账和结账</w:t>
            </w:r>
          </w:p>
        </w:tc>
        <w:tc>
          <w:tcPr>
            <w:tcW w:w="1457" w:type="pct"/>
            <w:vAlign w:val="center"/>
          </w:tcPr>
          <w:p w14:paraId="1E44485A">
            <w:pPr>
              <w:widowControl/>
              <w:spacing w:line="360" w:lineRule="auto"/>
              <w:jc w:val="center"/>
              <w:outlineLvl w:val="0"/>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按照业务处理要求进行对账和结账</w:t>
            </w:r>
          </w:p>
        </w:tc>
        <w:tc>
          <w:tcPr>
            <w:tcW w:w="1646" w:type="pct"/>
            <w:vAlign w:val="center"/>
          </w:tcPr>
          <w:p w14:paraId="382D4B47">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根据对账和结账的过程进行评分</w:t>
            </w:r>
          </w:p>
        </w:tc>
        <w:tc>
          <w:tcPr>
            <w:tcW w:w="564" w:type="pct"/>
            <w:vMerge w:val="continue"/>
            <w:vAlign w:val="center"/>
          </w:tcPr>
          <w:p w14:paraId="529775CA">
            <w:pPr>
              <w:spacing w:line="360" w:lineRule="auto"/>
              <w:ind w:firstLine="480" w:firstLineChars="200"/>
              <w:jc w:val="center"/>
              <w:rPr>
                <w:rFonts w:ascii="仿宋_GB2312" w:eastAsia="仿宋_GB2312"/>
                <w:color w:val="000000"/>
                <w:sz w:val="24"/>
                <w:szCs w:val="24"/>
              </w:rPr>
            </w:pPr>
          </w:p>
        </w:tc>
        <w:tc>
          <w:tcPr>
            <w:tcW w:w="622" w:type="pct"/>
            <w:vMerge w:val="continue"/>
            <w:vAlign w:val="center"/>
          </w:tcPr>
          <w:p w14:paraId="3C7C8C8A">
            <w:pPr>
              <w:widowControl/>
              <w:snapToGrid w:val="0"/>
              <w:spacing w:line="360" w:lineRule="auto"/>
              <w:ind w:firstLine="480" w:firstLineChars="200"/>
              <w:jc w:val="center"/>
              <w:rPr>
                <w:rFonts w:ascii="仿宋_GB2312" w:hAnsi="仿宋" w:eastAsia="仿宋_GB2312"/>
                <w:color w:val="000000"/>
                <w:kern w:val="0"/>
                <w:sz w:val="24"/>
                <w:szCs w:val="24"/>
              </w:rPr>
            </w:pPr>
          </w:p>
        </w:tc>
      </w:tr>
      <w:tr w14:paraId="1B1C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709" w:type="pct"/>
            <w:vAlign w:val="center"/>
          </w:tcPr>
          <w:p w14:paraId="5117A3C6">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编制报表</w:t>
            </w:r>
          </w:p>
        </w:tc>
        <w:tc>
          <w:tcPr>
            <w:tcW w:w="1457" w:type="pct"/>
            <w:vAlign w:val="center"/>
          </w:tcPr>
          <w:p w14:paraId="0CA8A906">
            <w:pPr>
              <w:widowControl/>
              <w:spacing w:line="360" w:lineRule="auto"/>
              <w:jc w:val="center"/>
              <w:outlineLvl w:val="0"/>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编制资产负债表、利润表</w:t>
            </w:r>
          </w:p>
        </w:tc>
        <w:tc>
          <w:tcPr>
            <w:tcW w:w="1646" w:type="pct"/>
            <w:vAlign w:val="center"/>
          </w:tcPr>
          <w:p w14:paraId="5655CE52">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根据报表项目的设置和生成的数据评分</w:t>
            </w:r>
          </w:p>
        </w:tc>
        <w:tc>
          <w:tcPr>
            <w:tcW w:w="564" w:type="pct"/>
            <w:vAlign w:val="center"/>
          </w:tcPr>
          <w:p w14:paraId="6B41A332">
            <w:pPr>
              <w:spacing w:line="360" w:lineRule="auto"/>
              <w:ind w:firstLine="480" w:firstLineChars="200"/>
              <w:rPr>
                <w:rFonts w:ascii="仿宋_GB2312" w:eastAsia="仿宋_GB2312" w:cs="仿宋_GB2312"/>
                <w:color w:val="000000"/>
                <w:sz w:val="24"/>
                <w:szCs w:val="24"/>
              </w:rPr>
            </w:pPr>
            <w:r>
              <w:rPr>
                <w:rFonts w:hint="eastAsia" w:ascii="仿宋_GB2312" w:eastAsia="仿宋_GB2312" w:cs="仿宋_GB2312"/>
                <w:color w:val="000000"/>
                <w:sz w:val="24"/>
                <w:szCs w:val="24"/>
              </w:rPr>
              <w:t>7</w:t>
            </w:r>
          </w:p>
        </w:tc>
        <w:tc>
          <w:tcPr>
            <w:tcW w:w="622" w:type="pct"/>
            <w:vAlign w:val="center"/>
          </w:tcPr>
          <w:p w14:paraId="68E83B4D">
            <w:pPr>
              <w:widowControl/>
              <w:snapToGrid w:val="0"/>
              <w:spacing w:line="360" w:lineRule="auto"/>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系统</w:t>
            </w:r>
          </w:p>
        </w:tc>
      </w:tr>
      <w:tr w14:paraId="23A3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709" w:type="pct"/>
            <w:vAlign w:val="center"/>
          </w:tcPr>
          <w:p w14:paraId="4677EC8C">
            <w:pPr>
              <w:widowControl/>
              <w:snapToGrid w:val="0"/>
              <w:spacing w:line="360" w:lineRule="auto"/>
              <w:jc w:val="center"/>
              <w:rPr>
                <w:rFonts w:hint="default" w:ascii="仿宋_GB2312" w:hAnsi="仿宋" w:eastAsia="仿宋_GB2312"/>
                <w:color w:val="000000"/>
                <w:kern w:val="0"/>
                <w:sz w:val="24"/>
                <w:szCs w:val="24"/>
                <w:lang w:val="en-US" w:eastAsia="zh-CN"/>
              </w:rPr>
            </w:pPr>
            <w:r>
              <w:rPr>
                <w:rFonts w:hint="eastAsia" w:ascii="仿宋_GB2312" w:hAnsi="仿宋" w:eastAsia="仿宋_GB2312" w:cs="仿宋_GB2312"/>
                <w:color w:val="000000"/>
                <w:kern w:val="0"/>
                <w:sz w:val="24"/>
                <w:szCs w:val="24"/>
              </w:rPr>
              <w:t>纳税申报</w:t>
            </w:r>
            <w:r>
              <w:rPr>
                <w:rFonts w:hint="eastAsia" w:ascii="仿宋_GB2312" w:hAnsi="仿宋" w:eastAsia="仿宋_GB2312" w:cs="仿宋_GB2312"/>
                <w:color w:val="000000"/>
                <w:kern w:val="0"/>
                <w:sz w:val="24"/>
                <w:szCs w:val="24"/>
                <w:lang w:val="en-US" w:eastAsia="zh-CN"/>
              </w:rPr>
              <w:t>与电子发票</w:t>
            </w:r>
          </w:p>
        </w:tc>
        <w:tc>
          <w:tcPr>
            <w:tcW w:w="1457" w:type="pct"/>
            <w:vAlign w:val="center"/>
          </w:tcPr>
          <w:p w14:paraId="47C8FFC7">
            <w:pPr>
              <w:widowControl/>
              <w:spacing w:line="360" w:lineRule="auto"/>
              <w:jc w:val="center"/>
              <w:outlineLvl w:val="0"/>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lang w:val="en-US" w:eastAsia="zh-CN"/>
              </w:rPr>
              <w:t>防伪税控开票、</w:t>
            </w:r>
            <w:r>
              <w:rPr>
                <w:rFonts w:hint="eastAsia" w:ascii="仿宋_GB2312" w:hAnsi="仿宋" w:eastAsia="仿宋_GB2312" w:cs="仿宋_GB2312"/>
                <w:color w:val="000000"/>
                <w:kern w:val="0"/>
                <w:sz w:val="24"/>
                <w:szCs w:val="24"/>
              </w:rPr>
              <w:t>增值税纳税申报、城建税和教育费附加纳税申报、企业所得税纳税申报.</w:t>
            </w:r>
          </w:p>
        </w:tc>
        <w:tc>
          <w:tcPr>
            <w:tcW w:w="1646" w:type="pct"/>
            <w:vAlign w:val="center"/>
          </w:tcPr>
          <w:p w14:paraId="01A7BBED">
            <w:pPr>
              <w:widowControl/>
              <w:snapToGrid w:val="0"/>
              <w:spacing w:line="360" w:lineRule="auto"/>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根据财税模块设置和生成的数据评分</w:t>
            </w:r>
          </w:p>
        </w:tc>
        <w:tc>
          <w:tcPr>
            <w:tcW w:w="564" w:type="pct"/>
            <w:vAlign w:val="center"/>
          </w:tcPr>
          <w:p w14:paraId="0CAAB110">
            <w:pPr>
              <w:spacing w:line="360" w:lineRule="auto"/>
              <w:ind w:firstLine="480" w:firstLineChars="200"/>
              <w:rPr>
                <w:rFonts w:ascii="仿宋_GB2312" w:eastAsia="仿宋_GB2312" w:cs="仿宋_GB2312"/>
                <w:color w:val="000000"/>
                <w:sz w:val="24"/>
                <w:szCs w:val="24"/>
              </w:rPr>
            </w:pPr>
            <w:r>
              <w:rPr>
                <w:rFonts w:hint="eastAsia" w:ascii="仿宋_GB2312" w:eastAsia="仿宋_GB2312" w:cs="仿宋_GB2312"/>
                <w:color w:val="000000"/>
                <w:sz w:val="24"/>
                <w:szCs w:val="24"/>
              </w:rPr>
              <w:t>8</w:t>
            </w:r>
          </w:p>
        </w:tc>
        <w:tc>
          <w:tcPr>
            <w:tcW w:w="622" w:type="pct"/>
            <w:vAlign w:val="center"/>
          </w:tcPr>
          <w:p w14:paraId="4F7F3C8C">
            <w:pPr>
              <w:widowControl/>
              <w:snapToGrid w:val="0"/>
              <w:spacing w:line="360" w:lineRule="auto"/>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系统</w:t>
            </w:r>
          </w:p>
        </w:tc>
      </w:tr>
      <w:tr w14:paraId="6FDA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3812" w:type="pct"/>
            <w:gridSpan w:val="3"/>
            <w:vAlign w:val="center"/>
          </w:tcPr>
          <w:p w14:paraId="38600CFB">
            <w:pPr>
              <w:widowControl/>
              <w:snapToGrid w:val="0"/>
              <w:spacing w:line="360" w:lineRule="auto"/>
              <w:ind w:firstLine="480" w:firstLineChars="200"/>
              <w:jc w:val="center"/>
              <w:rPr>
                <w:rFonts w:ascii="仿宋_GB2312" w:hAnsi="仿宋" w:eastAsia="仿宋_GB2312"/>
                <w:color w:val="000000"/>
                <w:kern w:val="0"/>
                <w:sz w:val="24"/>
                <w:szCs w:val="24"/>
              </w:rPr>
            </w:pPr>
            <w:r>
              <w:rPr>
                <w:rFonts w:hint="eastAsia" w:ascii="仿宋_GB2312" w:hAnsi="仿宋" w:eastAsia="仿宋_GB2312" w:cs="仿宋_GB2312"/>
                <w:color w:val="000000"/>
                <w:kern w:val="0"/>
                <w:sz w:val="24"/>
                <w:szCs w:val="24"/>
              </w:rPr>
              <w:t>合</w:t>
            </w:r>
            <w:r>
              <w:rPr>
                <w:rFonts w:ascii="仿宋_GB2312" w:hAnsi="仿宋" w:eastAsia="仿宋_GB2312"/>
                <w:color w:val="000000"/>
                <w:kern w:val="0"/>
                <w:sz w:val="24"/>
                <w:szCs w:val="24"/>
              </w:rPr>
              <w:t>         </w:t>
            </w:r>
            <w:r>
              <w:rPr>
                <w:rFonts w:hint="eastAsia" w:ascii="仿宋_GB2312" w:hAnsi="仿宋" w:eastAsia="仿宋_GB2312" w:cs="仿宋_GB2312"/>
                <w:color w:val="000000"/>
                <w:kern w:val="0"/>
                <w:sz w:val="24"/>
                <w:szCs w:val="24"/>
              </w:rPr>
              <w:t>计</w:t>
            </w:r>
          </w:p>
        </w:tc>
        <w:tc>
          <w:tcPr>
            <w:tcW w:w="1187" w:type="pct"/>
            <w:gridSpan w:val="2"/>
            <w:vAlign w:val="center"/>
          </w:tcPr>
          <w:p w14:paraId="50853789">
            <w:pPr>
              <w:widowControl/>
              <w:snapToGrid w:val="0"/>
              <w:spacing w:line="360" w:lineRule="auto"/>
              <w:ind w:firstLine="480" w:firstLineChars="200"/>
              <w:jc w:val="center"/>
              <w:rPr>
                <w:rFonts w:ascii="仿宋_GB2312" w:hAnsi="仿宋" w:eastAsia="仿宋_GB2312"/>
                <w:color w:val="000000"/>
                <w:kern w:val="0"/>
                <w:sz w:val="24"/>
                <w:szCs w:val="24"/>
              </w:rPr>
            </w:pPr>
            <w:r>
              <w:rPr>
                <w:rFonts w:ascii="仿宋_GB2312" w:eastAsia="仿宋_GB2312" w:cs="仿宋_GB2312"/>
                <w:color w:val="000000"/>
                <w:sz w:val="24"/>
                <w:szCs w:val="24"/>
              </w:rPr>
              <w:t>100</w:t>
            </w:r>
          </w:p>
        </w:tc>
      </w:tr>
    </w:tbl>
    <w:p w14:paraId="42E8AE5E">
      <w:pPr>
        <w:adjustRightInd w:val="0"/>
        <w:snapToGrid w:val="0"/>
        <w:spacing w:line="360" w:lineRule="auto"/>
        <w:ind w:firstLine="482" w:firstLineChars="200"/>
        <w:rPr>
          <w:rFonts w:ascii="仿宋_GB2312" w:eastAsia="仿宋_GB2312"/>
          <w:b/>
          <w:bCs/>
          <w:color w:val="000000"/>
          <w:sz w:val="24"/>
          <w:szCs w:val="24"/>
        </w:rPr>
      </w:pPr>
    </w:p>
    <w:p w14:paraId="6352E0D7">
      <w:pPr>
        <w:adjustRightInd w:val="0"/>
        <w:snapToGrid w:val="0"/>
        <w:spacing w:line="360" w:lineRule="auto"/>
        <w:ind w:firstLine="482" w:firstLineChars="200"/>
        <w:rPr>
          <w:rFonts w:ascii="仿宋_GB2312" w:eastAsia="仿宋_GB2312"/>
          <w:b/>
          <w:bCs/>
          <w:color w:val="000000"/>
          <w:sz w:val="24"/>
          <w:szCs w:val="24"/>
        </w:rPr>
      </w:pP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二</w:t>
      </w:r>
      <w:r>
        <w:rPr>
          <w:rFonts w:ascii="仿宋_GB2312" w:eastAsia="仿宋_GB2312" w:cs="仿宋_GB2312"/>
          <w:b/>
          <w:bCs/>
          <w:color w:val="000000"/>
          <w:sz w:val="24"/>
          <w:szCs w:val="24"/>
        </w:rPr>
        <w:t>)</w:t>
      </w:r>
      <w:r>
        <w:rPr>
          <w:rFonts w:hint="eastAsia" w:ascii="仿宋_GB2312" w:eastAsia="仿宋_GB2312" w:cs="仿宋_GB2312"/>
          <w:b/>
          <w:bCs/>
          <w:color w:val="000000"/>
          <w:sz w:val="24"/>
          <w:szCs w:val="24"/>
        </w:rPr>
        <w:t>评分组织与分工</w:t>
      </w:r>
    </w:p>
    <w:p w14:paraId="710FDEF2">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1.</w:t>
      </w:r>
      <w:r>
        <w:rPr>
          <w:rFonts w:hint="eastAsia" w:ascii="仿宋_GB2312" w:eastAsia="仿宋_GB2312" w:cs="仿宋_GB2312"/>
          <w:color w:val="000000"/>
          <w:sz w:val="24"/>
          <w:szCs w:val="24"/>
        </w:rPr>
        <w:t>参与大赛赛项成绩管理的组织机构包括裁判组、监督组和仲裁组，受赛项执委会领导。</w:t>
      </w:r>
    </w:p>
    <w:p w14:paraId="68E0513B">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2.</w:t>
      </w:r>
      <w:r>
        <w:rPr>
          <w:rFonts w:hint="eastAsia" w:ascii="仿宋_GB2312" w:eastAsia="仿宋_GB2312" w:cs="仿宋_GB2312"/>
          <w:color w:val="000000"/>
          <w:sz w:val="24"/>
          <w:szCs w:val="24"/>
        </w:rPr>
        <w:t>裁判组实行“裁判长负责制”，设裁判长</w:t>
      </w:r>
      <w:r>
        <w:rPr>
          <w:rFonts w:ascii="仿宋_GB2312" w:eastAsia="仿宋_GB2312" w:cs="仿宋_GB2312"/>
          <w:color w:val="000000"/>
          <w:sz w:val="24"/>
          <w:szCs w:val="24"/>
        </w:rPr>
        <w:t>1</w:t>
      </w:r>
      <w:r>
        <w:rPr>
          <w:rFonts w:hint="eastAsia" w:ascii="仿宋_GB2312" w:eastAsia="仿宋_GB2312" w:cs="仿宋_GB2312"/>
          <w:color w:val="000000"/>
          <w:sz w:val="24"/>
          <w:szCs w:val="24"/>
        </w:rPr>
        <w:t>名，全面负责赛项的裁判管理工作并处理比赛中出现的争议问题，裁判</w:t>
      </w:r>
      <w:r>
        <w:rPr>
          <w:rFonts w:hint="eastAsia" w:ascii="仿宋_GB2312" w:eastAsia="仿宋_GB2312" w:cs="仿宋_GB2312"/>
          <w:color w:val="000000"/>
          <w:sz w:val="24"/>
          <w:szCs w:val="24"/>
          <w:lang w:val="en-US" w:eastAsia="zh-CN"/>
        </w:rPr>
        <w:t>员</w:t>
      </w:r>
      <w:r>
        <w:rPr>
          <w:rFonts w:hint="eastAsia" w:ascii="仿宋_GB2312" w:eastAsia="仿宋_GB2312" w:cs="仿宋_GB2312"/>
          <w:color w:val="000000"/>
          <w:sz w:val="24"/>
          <w:szCs w:val="24"/>
        </w:rPr>
        <w:t>若干名，负责协助裁判长工作。</w:t>
      </w:r>
    </w:p>
    <w:p w14:paraId="72BECE44">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3.</w:t>
      </w:r>
      <w:r>
        <w:rPr>
          <w:rFonts w:hint="eastAsia" w:ascii="仿宋_GB2312" w:eastAsia="仿宋_GB2312" w:cs="仿宋_GB2312"/>
          <w:color w:val="000000"/>
          <w:sz w:val="24"/>
          <w:szCs w:val="24"/>
        </w:rPr>
        <w:t>裁判员根据比赛需要分为检录裁判、加密裁判、现场裁判和评分裁判。检录裁判负责对参赛队伍（选手）进行点名登记、身份核对等工作；加密裁判负责组织参赛队伍（选手）抽签，对参赛队信息、抽签代码等进行加密；现场裁判按规定做好赛场记录，维护赛场纪律，评定参赛队的现场得分；评分裁判负责对参赛队伍（选手）的比赛作品、比赛表现按赛项评分标准进行评定。</w:t>
      </w:r>
    </w:p>
    <w:p w14:paraId="3F32E8C2">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4.</w:t>
      </w:r>
      <w:r>
        <w:rPr>
          <w:rFonts w:hint="eastAsia" w:ascii="仿宋_GB2312" w:eastAsia="仿宋_GB2312" w:cs="仿宋_GB2312"/>
          <w:color w:val="000000"/>
          <w:sz w:val="24"/>
          <w:szCs w:val="24"/>
        </w:rPr>
        <w:t>监督组对裁判组的工作进行全程监督，并对竞赛成绩抽检复核。</w:t>
      </w:r>
    </w:p>
    <w:p w14:paraId="2C1A54FD">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5.</w:t>
      </w:r>
      <w:r>
        <w:rPr>
          <w:rFonts w:hint="eastAsia" w:ascii="仿宋_GB2312" w:eastAsia="仿宋_GB2312" w:cs="仿宋_GB2312"/>
          <w:color w:val="000000"/>
          <w:sz w:val="24"/>
          <w:szCs w:val="24"/>
        </w:rPr>
        <w:t>仲裁组负责接受由参赛队领队提出的对裁判结果的申诉，组织复议并及时反馈复议结果。</w:t>
      </w:r>
    </w:p>
    <w:p w14:paraId="028F618D">
      <w:pPr>
        <w:adjustRightInd w:val="0"/>
        <w:snapToGrid w:val="0"/>
        <w:spacing w:line="360" w:lineRule="auto"/>
        <w:ind w:firstLine="482" w:firstLineChars="200"/>
        <w:rPr>
          <w:rFonts w:ascii="仿宋_GB2312" w:eastAsia="仿宋_GB2312"/>
          <w:b/>
          <w:bCs/>
          <w:color w:val="000000"/>
          <w:sz w:val="24"/>
          <w:szCs w:val="24"/>
        </w:rPr>
      </w:pPr>
      <w:r>
        <w:rPr>
          <w:rFonts w:ascii="仿宋_GB2312" w:eastAsia="仿宋_GB2312" w:cs="仿宋_GB2312"/>
          <w:b/>
          <w:bCs/>
          <w:color w:val="000000"/>
          <w:sz w:val="24"/>
          <w:szCs w:val="24"/>
        </w:rPr>
        <w:t>(</w:t>
      </w:r>
      <w:r>
        <w:rPr>
          <w:rFonts w:hint="eastAsia" w:ascii="仿宋_GB2312" w:eastAsia="仿宋_GB2312" w:cs="仿宋_GB2312"/>
          <w:b/>
          <w:bCs/>
          <w:color w:val="000000"/>
          <w:sz w:val="24"/>
          <w:szCs w:val="24"/>
        </w:rPr>
        <w:t>三</w:t>
      </w:r>
      <w:r>
        <w:rPr>
          <w:rFonts w:ascii="仿宋_GB2312" w:eastAsia="仿宋_GB2312" w:cs="仿宋_GB2312"/>
          <w:b/>
          <w:bCs/>
          <w:color w:val="000000"/>
          <w:sz w:val="24"/>
          <w:szCs w:val="24"/>
        </w:rPr>
        <w:t>)</w:t>
      </w:r>
      <w:r>
        <w:rPr>
          <w:rFonts w:hint="eastAsia" w:ascii="仿宋_GB2312" w:eastAsia="仿宋_GB2312" w:cs="仿宋_GB2312"/>
          <w:b/>
          <w:bCs/>
          <w:color w:val="000000"/>
          <w:sz w:val="24"/>
          <w:szCs w:val="24"/>
        </w:rPr>
        <w:t>成绩公布方法</w:t>
      </w:r>
    </w:p>
    <w:p w14:paraId="29A845B7">
      <w:pPr>
        <w:numPr>
          <w:ilvl w:val="0"/>
          <w:numId w:val="0"/>
        </w:numPr>
        <w:adjustRightInd w:val="0"/>
        <w:snapToGrid w:val="0"/>
        <w:spacing w:line="360" w:lineRule="auto"/>
        <w:ind w:firstLine="480" w:firstLineChars="200"/>
        <w:rPr>
          <w:rFonts w:hint="eastAsia" w:ascii="仿宋_GB2312" w:eastAsia="仿宋_GB2312" w:cs="仿宋_GB2312"/>
          <w:color w:val="000000"/>
          <w:sz w:val="24"/>
          <w:szCs w:val="24"/>
        </w:rPr>
      </w:pPr>
      <w:r>
        <w:rPr>
          <w:rFonts w:hint="eastAsia" w:ascii="仿宋_GB2312" w:eastAsia="仿宋_GB2312" w:cs="仿宋_GB2312"/>
          <w:color w:val="000000"/>
          <w:sz w:val="24"/>
          <w:szCs w:val="24"/>
        </w:rPr>
        <w:t>赛项成绩在赛项结束后由</w:t>
      </w:r>
      <w:r>
        <w:rPr>
          <w:rFonts w:hint="eastAsia" w:ascii="Calibri" w:hAnsi="Calibri" w:eastAsia="仿宋_GB2312" w:cs="仿宋_GB2312"/>
          <w:color w:val="000000"/>
          <w:sz w:val="24"/>
          <w:szCs w:val="24"/>
        </w:rPr>
        <w:t>赛项执委会现场由高到低公布</w:t>
      </w:r>
      <w:r>
        <w:rPr>
          <w:rFonts w:hint="eastAsia" w:ascii="仿宋_GB2312" w:eastAsia="仿宋_GB2312" w:cs="仿宋_GB2312"/>
          <w:color w:val="000000"/>
          <w:sz w:val="24"/>
          <w:szCs w:val="24"/>
        </w:rPr>
        <w:t>。任何组织和个人，不得擅自对大赛成绩进行涂改、伪造或用于欺诈等违法犯罪活动、如需使用大赛成绩，应报赛区执委会审批。</w:t>
      </w:r>
    </w:p>
    <w:p w14:paraId="75E2F638">
      <w:pPr>
        <w:adjustRightInd w:val="0"/>
        <w:snapToGrid w:val="0"/>
        <w:spacing w:line="360" w:lineRule="auto"/>
        <w:ind w:firstLine="480" w:firstLineChars="200"/>
        <w:rPr>
          <w:rFonts w:hint="default" w:ascii="黑体" w:hAnsi="黑体" w:eastAsia="黑体"/>
          <w:color w:val="000000"/>
          <w:sz w:val="24"/>
          <w:szCs w:val="24"/>
          <w:lang w:val="en-US" w:eastAsia="zh-CN"/>
        </w:rPr>
      </w:pPr>
      <w:r>
        <w:rPr>
          <w:rFonts w:hint="eastAsia" w:ascii="黑体" w:hAnsi="黑体" w:eastAsia="黑体" w:cs="黑体"/>
          <w:color w:val="000000"/>
          <w:sz w:val="24"/>
          <w:szCs w:val="24"/>
        </w:rPr>
        <w:t>十、</w:t>
      </w:r>
      <w:r>
        <w:rPr>
          <w:rFonts w:hint="eastAsia" w:ascii="黑体" w:hAnsi="黑体" w:eastAsia="黑体" w:cs="黑体"/>
          <w:color w:val="000000"/>
          <w:sz w:val="24"/>
          <w:szCs w:val="24"/>
          <w:lang w:val="en-US" w:eastAsia="zh-CN"/>
        </w:rPr>
        <w:t>奖项设置</w:t>
      </w:r>
    </w:p>
    <w:p w14:paraId="54B9EFCA">
      <w:pPr>
        <w:numPr>
          <w:ilvl w:val="0"/>
          <w:numId w:val="0"/>
        </w:numPr>
        <w:adjustRightInd w:val="0"/>
        <w:snapToGrid w:val="0"/>
        <w:spacing w:line="360" w:lineRule="auto"/>
        <w:ind w:firstLine="480" w:firstLineChars="200"/>
        <w:rPr>
          <w:rFonts w:hint="eastAsia" w:ascii="仿宋_GB2312" w:eastAsia="仿宋_GB2312" w:cs="仿宋_GB2312"/>
          <w:color w:val="000000"/>
          <w:sz w:val="24"/>
          <w:szCs w:val="24"/>
          <w:lang w:eastAsia="zh-CN"/>
        </w:rPr>
      </w:pPr>
      <w:r>
        <w:rPr>
          <w:rFonts w:hint="eastAsia" w:ascii="仿宋_GB2312" w:eastAsia="仿宋_GB2312" w:cs="仿宋_GB2312"/>
          <w:color w:val="000000"/>
          <w:sz w:val="24"/>
          <w:szCs w:val="24"/>
        </w:rPr>
        <w:t>学生赛设团体奖，教师赛设个人奖。团体一、二等奖指导教师获优秀指导教师奖。团体和个人分设一、二、三等奖，各占10%、20%、30%(小数点后四舍五入)。</w:t>
      </w:r>
    </w:p>
    <w:p w14:paraId="41438362">
      <w:pPr>
        <w:adjustRightInd w:val="0"/>
        <w:snapToGrid w:val="0"/>
        <w:spacing w:line="360" w:lineRule="auto"/>
        <w:ind w:firstLine="480" w:firstLineChars="200"/>
        <w:rPr>
          <w:rFonts w:ascii="黑体" w:hAnsi="黑体" w:eastAsia="黑体"/>
          <w:color w:val="000000"/>
          <w:sz w:val="24"/>
          <w:szCs w:val="24"/>
        </w:rPr>
      </w:pPr>
      <w:r>
        <w:rPr>
          <w:rFonts w:hint="eastAsia" w:ascii="黑体" w:hAnsi="黑体" w:eastAsia="黑体" w:cs="黑体"/>
          <w:color w:val="000000"/>
          <w:sz w:val="24"/>
          <w:szCs w:val="24"/>
        </w:rPr>
        <w:t>十</w:t>
      </w:r>
      <w:r>
        <w:rPr>
          <w:rFonts w:hint="eastAsia" w:ascii="黑体" w:hAnsi="黑体" w:eastAsia="黑体" w:cs="黑体"/>
          <w:color w:val="000000"/>
          <w:sz w:val="24"/>
          <w:szCs w:val="24"/>
          <w:lang w:val="en-US" w:eastAsia="zh-CN"/>
        </w:rPr>
        <w:t>一</w:t>
      </w:r>
      <w:r>
        <w:rPr>
          <w:rFonts w:hint="eastAsia" w:ascii="黑体" w:hAnsi="黑体" w:eastAsia="黑体" w:cs="黑体"/>
          <w:color w:val="000000"/>
          <w:sz w:val="24"/>
          <w:szCs w:val="24"/>
        </w:rPr>
        <w:t>、赛场预案</w:t>
      </w:r>
    </w:p>
    <w:p w14:paraId="0F674FE2">
      <w:pPr>
        <w:spacing w:line="360" w:lineRule="auto"/>
        <w:ind w:firstLine="482" w:firstLineChars="200"/>
        <w:rPr>
          <w:rFonts w:ascii="仿宋_GB2312" w:eastAsia="仿宋_GB2312"/>
          <w:color w:val="000000"/>
          <w:sz w:val="24"/>
          <w:szCs w:val="24"/>
        </w:rPr>
      </w:pPr>
      <w:r>
        <w:rPr>
          <w:rFonts w:hint="eastAsia" w:ascii="仿宋_GB2312" w:eastAsia="仿宋_GB2312" w:cs="仿宋_GB2312"/>
          <w:b/>
          <w:bCs/>
          <w:color w:val="000000"/>
          <w:sz w:val="24"/>
          <w:szCs w:val="24"/>
        </w:rPr>
        <w:t>（一）非正常停电</w:t>
      </w:r>
      <w:r>
        <w:rPr>
          <w:rFonts w:ascii="仿宋_GB2312" w:eastAsia="仿宋_GB2312"/>
          <w:b/>
          <w:bCs/>
          <w:color w:val="000000"/>
          <w:sz w:val="24"/>
          <w:szCs w:val="24"/>
        </w:rPr>
        <w:br w:type="textWrapping"/>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竞赛现场如出现突然非正常停电的，按下述步骤进行处理：</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1.</w:t>
      </w:r>
      <w:r>
        <w:rPr>
          <w:rFonts w:hint="eastAsia" w:ascii="仿宋_GB2312" w:eastAsia="仿宋_GB2312" w:cs="仿宋_GB2312"/>
          <w:color w:val="000000"/>
          <w:sz w:val="24"/>
          <w:szCs w:val="24"/>
        </w:rPr>
        <w:t>裁判员提示参赛选手，工作人员提示观摩人员要保持镇静，防止踩踏事件发生；</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2.</w:t>
      </w:r>
      <w:r>
        <w:rPr>
          <w:rFonts w:hint="eastAsia" w:ascii="仿宋_GB2312" w:eastAsia="仿宋_GB2312" w:cs="仿宋_GB2312"/>
          <w:color w:val="000000"/>
          <w:sz w:val="24"/>
          <w:szCs w:val="24"/>
        </w:rPr>
        <w:t>裁判员提示参赛选手在电源保护装置的有效时间内备份计算机操作数据，并等候处理决定；</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3.</w:t>
      </w:r>
      <w:r>
        <w:rPr>
          <w:rFonts w:hint="eastAsia" w:ascii="仿宋_GB2312" w:eastAsia="仿宋_GB2312" w:cs="仿宋_GB2312"/>
          <w:color w:val="000000"/>
          <w:sz w:val="24"/>
          <w:szCs w:val="24"/>
        </w:rPr>
        <w:t>必要时，保卫人员开启安全通道，有序疏散现场人员离场；</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4.</w:t>
      </w:r>
      <w:r>
        <w:rPr>
          <w:rFonts w:hint="eastAsia" w:ascii="仿宋_GB2312" w:eastAsia="仿宋_GB2312" w:cs="仿宋_GB2312"/>
          <w:color w:val="000000"/>
          <w:sz w:val="24"/>
          <w:szCs w:val="24"/>
        </w:rPr>
        <w:t>裁判长视情况决定启动备用电源或延迟竞赛；</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5.</w:t>
      </w:r>
      <w:r>
        <w:rPr>
          <w:rFonts w:hint="eastAsia" w:ascii="仿宋_GB2312" w:eastAsia="仿宋_GB2312" w:cs="仿宋_GB2312"/>
          <w:color w:val="000000"/>
          <w:sz w:val="24"/>
          <w:szCs w:val="24"/>
        </w:rPr>
        <w:t>现场电力恢复后，由裁判组集体商定根据竞赛内容特点的不同可采用继续比赛、顺延比赛时间、重赛等处理办法。</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w:t>
      </w:r>
      <w:r>
        <w:rPr>
          <w:rFonts w:hint="eastAsia" w:ascii="仿宋_GB2312" w:eastAsia="仿宋_GB2312" w:cs="仿宋_GB2312"/>
          <w:b/>
          <w:bCs/>
          <w:color w:val="000000"/>
          <w:sz w:val="24"/>
          <w:szCs w:val="24"/>
        </w:rPr>
        <w:t>（二）竞赛设备故障</w:t>
      </w:r>
      <w:r>
        <w:rPr>
          <w:rFonts w:ascii="仿宋_GB2312" w:eastAsia="仿宋_GB2312"/>
          <w:b/>
          <w:bCs/>
          <w:color w:val="000000"/>
          <w:sz w:val="24"/>
          <w:szCs w:val="24"/>
        </w:rPr>
        <w:br w:type="textWrapping"/>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竞赛过程中，如遇竞赛设备故障，按下列程序报告并处理：</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1.</w:t>
      </w:r>
      <w:r>
        <w:rPr>
          <w:rFonts w:hint="eastAsia" w:ascii="仿宋_GB2312" w:eastAsia="仿宋_GB2312" w:cs="仿宋_GB2312"/>
          <w:color w:val="000000"/>
          <w:sz w:val="24"/>
          <w:szCs w:val="24"/>
        </w:rPr>
        <w:t>参赛选手举手示意，说明故障现象，裁判员、技术员等应及时予以解决；</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2.</w:t>
      </w:r>
      <w:r>
        <w:rPr>
          <w:rFonts w:hint="eastAsia" w:ascii="仿宋_GB2312" w:eastAsia="仿宋_GB2312" w:cs="仿宋_GB2312"/>
          <w:color w:val="000000"/>
          <w:sz w:val="24"/>
          <w:szCs w:val="24"/>
        </w:rPr>
        <w:t>确因设备无法继续操作，经由裁判员提出申请，报裁判长批准后，予以启用备用设备；</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3.</w:t>
      </w:r>
      <w:r>
        <w:rPr>
          <w:rFonts w:hint="eastAsia" w:ascii="仿宋_GB2312" w:eastAsia="仿宋_GB2312" w:cs="仿宋_GB2312"/>
          <w:color w:val="000000"/>
          <w:sz w:val="24"/>
          <w:szCs w:val="24"/>
        </w:rPr>
        <w:t>竞赛软件都设置了关键节点的自动备份功能，裁判长根据实际情况授权工作人员恢复备份数据；</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4.</w:t>
      </w:r>
      <w:r>
        <w:rPr>
          <w:rFonts w:hint="eastAsia" w:ascii="仿宋_GB2312" w:eastAsia="仿宋_GB2312" w:cs="仿宋_GB2312"/>
          <w:color w:val="000000"/>
          <w:sz w:val="24"/>
          <w:szCs w:val="24"/>
        </w:rPr>
        <w:t>数据恢复正常后，由裁判组集体商定根据竞赛内容特点的不同可采用继续比赛、顺延比赛时间、重赛等处理办法。</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w:t>
      </w:r>
      <w:r>
        <w:rPr>
          <w:rFonts w:hint="eastAsia" w:ascii="仿宋_GB2312" w:eastAsia="仿宋_GB2312" w:cs="仿宋_GB2312"/>
          <w:b/>
          <w:bCs/>
          <w:color w:val="000000"/>
          <w:sz w:val="24"/>
          <w:szCs w:val="24"/>
        </w:rPr>
        <w:t>（三）参赛队员发生意外受伤或急病等情况</w:t>
      </w:r>
      <w:r>
        <w:rPr>
          <w:rFonts w:ascii="仿宋_GB2312" w:eastAsia="仿宋_GB2312"/>
          <w:b/>
          <w:bCs/>
          <w:color w:val="000000"/>
          <w:sz w:val="24"/>
          <w:szCs w:val="24"/>
        </w:rPr>
        <w:br w:type="textWrapping"/>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参赛队员发生意外受伤或急病等情况，应按下列步骤进行处理：</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1.</w:t>
      </w:r>
      <w:r>
        <w:rPr>
          <w:rFonts w:hint="eastAsia" w:ascii="仿宋_GB2312" w:eastAsia="仿宋_GB2312" w:cs="仿宋_GB2312"/>
          <w:color w:val="000000"/>
          <w:sz w:val="24"/>
          <w:szCs w:val="24"/>
        </w:rPr>
        <w:t>参赛选手举手示意；</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2.</w:t>
      </w:r>
      <w:r>
        <w:rPr>
          <w:rFonts w:hint="eastAsia" w:ascii="仿宋_GB2312" w:eastAsia="仿宋_GB2312" w:cs="仿宋_GB2312"/>
          <w:color w:val="000000"/>
          <w:sz w:val="24"/>
          <w:szCs w:val="24"/>
        </w:rPr>
        <w:t>现场医务人员迅速到达现场，救治或急送最近医院进行救治；</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3.</w:t>
      </w:r>
      <w:r>
        <w:rPr>
          <w:rFonts w:hint="eastAsia" w:ascii="仿宋_GB2312" w:eastAsia="仿宋_GB2312" w:cs="仿宋_GB2312"/>
          <w:color w:val="000000"/>
          <w:sz w:val="24"/>
          <w:szCs w:val="24"/>
        </w:rPr>
        <w:t>参赛队其他队员可在不违反有关规定的情况下，协同完成竞赛事项。</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w:t>
      </w:r>
      <w:r>
        <w:rPr>
          <w:rFonts w:hint="eastAsia" w:ascii="仿宋_GB2312" w:eastAsia="仿宋_GB2312" w:cs="仿宋_GB2312"/>
          <w:b/>
          <w:bCs/>
          <w:color w:val="000000"/>
          <w:sz w:val="24"/>
          <w:szCs w:val="24"/>
        </w:rPr>
        <w:t>（四）参赛现场出现暴力，人员拥堵，急性传染病人员进入等情况</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参赛现场出现暴力，人员拥堵，急性传染病人员进入等情况，应按下述步骤进行处理：</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1.</w:t>
      </w:r>
      <w:r>
        <w:rPr>
          <w:rFonts w:hint="eastAsia" w:ascii="仿宋_GB2312" w:eastAsia="仿宋_GB2312" w:cs="仿宋_GB2312"/>
          <w:color w:val="000000"/>
          <w:sz w:val="24"/>
          <w:szCs w:val="24"/>
        </w:rPr>
        <w:t>有关人员迅速向赛项总指挥汇报，并由赛项总指挥向赛项执委会汇报，并由赛项执委会根据事态发展情况确定是否及时报告公安部门，公共卫生部门及医疗部门，在保证赛场内人员人生安全的原则下，尽量不扩大事态；</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2.</w:t>
      </w:r>
      <w:r>
        <w:rPr>
          <w:rFonts w:hint="eastAsia" w:ascii="仿宋_GB2312" w:eastAsia="仿宋_GB2312" w:cs="仿宋_GB2312"/>
          <w:color w:val="000000"/>
          <w:sz w:val="24"/>
          <w:szCs w:val="24"/>
        </w:rPr>
        <w:t>根据赛前制定的现场保卫人员的职责范围，以及突发情况应对的赛前演练安排，赛项保卫人员迅速就位，对赛场内除参赛队以外的其他人员进行有序疏散；</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3.</w:t>
      </w:r>
      <w:r>
        <w:rPr>
          <w:rFonts w:hint="eastAsia" w:ascii="仿宋_GB2312" w:eastAsia="仿宋_GB2312" w:cs="仿宋_GB2312"/>
          <w:color w:val="000000"/>
          <w:sz w:val="24"/>
          <w:szCs w:val="24"/>
        </w:rPr>
        <w:t>人员疏散后进行现场清理，如消毒，找出突发事件隐患并进行处理等；</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4.</w:t>
      </w:r>
      <w:r>
        <w:rPr>
          <w:rFonts w:hint="eastAsia" w:ascii="仿宋_GB2312" w:eastAsia="仿宋_GB2312" w:cs="仿宋_GB2312"/>
          <w:color w:val="000000"/>
          <w:sz w:val="24"/>
          <w:szCs w:val="24"/>
        </w:rPr>
        <w:t>进行处理后，在保证参赛队员人身安全的前提下，继续有序组织竞赛。</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w:t>
      </w:r>
      <w:r>
        <w:rPr>
          <w:rFonts w:hint="eastAsia" w:ascii="仿宋_GB2312" w:eastAsia="仿宋_GB2312" w:cs="仿宋_GB2312"/>
          <w:b/>
          <w:bCs/>
          <w:color w:val="000000"/>
          <w:sz w:val="24"/>
          <w:szCs w:val="24"/>
        </w:rPr>
        <w:t>（五）暴雨洪灾，火灾等事故</w:t>
      </w:r>
      <w:r>
        <w:rPr>
          <w:rFonts w:ascii="仿宋_GB2312" w:eastAsia="仿宋_GB2312"/>
          <w:b/>
          <w:bCs/>
          <w:color w:val="000000"/>
          <w:sz w:val="24"/>
          <w:szCs w:val="24"/>
        </w:rPr>
        <w:br w:type="textWrapping"/>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如遇暴雨洪灾，火灾等事故，应按下述步骤进行处理：</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1.</w:t>
      </w:r>
      <w:r>
        <w:rPr>
          <w:rFonts w:hint="eastAsia" w:ascii="仿宋_GB2312" w:eastAsia="仿宋_GB2312" w:cs="仿宋_GB2312"/>
          <w:color w:val="000000"/>
          <w:sz w:val="24"/>
          <w:szCs w:val="24"/>
        </w:rPr>
        <w:t>赛项执委会负责与公安，医疗，气象，交通等部门取得联系，并根据情况确定是否继续竞赛；</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2.</w:t>
      </w:r>
      <w:r>
        <w:rPr>
          <w:rFonts w:hint="eastAsia" w:ascii="仿宋_GB2312" w:eastAsia="仿宋_GB2312" w:cs="仿宋_GB2312"/>
          <w:color w:val="000000"/>
          <w:sz w:val="24"/>
          <w:szCs w:val="24"/>
        </w:rPr>
        <w:t>立即组织相关人员到现场，疏散人群，进行应急处理，如使用灭火装置灭掉明火等，必要时封存竞赛现场，停止竞赛；</w:t>
      </w:r>
      <w:r>
        <w:rPr>
          <w:rFonts w:ascii="仿宋_GB2312" w:eastAsia="仿宋_GB2312"/>
          <w:color w:val="000000"/>
          <w:sz w:val="24"/>
          <w:szCs w:val="24"/>
        </w:rPr>
        <w:br w:type="textWrapping"/>
      </w:r>
      <w:r>
        <w:rPr>
          <w:rFonts w:ascii="仿宋_GB2312" w:eastAsia="仿宋_GB2312" w:cs="仿宋_GB2312"/>
          <w:color w:val="000000"/>
          <w:sz w:val="24"/>
          <w:szCs w:val="24"/>
        </w:rPr>
        <w:t xml:space="preserve">    3.</w:t>
      </w:r>
      <w:r>
        <w:rPr>
          <w:rFonts w:hint="eastAsia" w:ascii="仿宋_GB2312" w:eastAsia="仿宋_GB2312" w:cs="仿宋_GB2312"/>
          <w:color w:val="000000"/>
          <w:sz w:val="24"/>
          <w:szCs w:val="24"/>
          <w:lang w:val="en-US" w:eastAsia="zh-CN"/>
        </w:rPr>
        <w:t>现场</w:t>
      </w:r>
      <w:r>
        <w:rPr>
          <w:rFonts w:hint="eastAsia" w:ascii="仿宋_GB2312" w:eastAsia="仿宋_GB2312" w:cs="仿宋_GB2312"/>
          <w:color w:val="000000"/>
          <w:sz w:val="24"/>
          <w:szCs w:val="24"/>
        </w:rPr>
        <w:t>裁判做好参赛选手，工作人员做好观摩人员的思想工作，确保事态不人为扩张。</w:t>
      </w:r>
    </w:p>
    <w:p w14:paraId="2D0878FA">
      <w:pPr>
        <w:adjustRightInd w:val="0"/>
        <w:snapToGrid w:val="0"/>
        <w:spacing w:line="360" w:lineRule="auto"/>
        <w:ind w:firstLine="480" w:firstLineChars="200"/>
        <w:rPr>
          <w:rFonts w:ascii="黑体" w:hAnsi="黑体" w:eastAsia="黑体"/>
          <w:color w:val="000000"/>
          <w:sz w:val="24"/>
          <w:szCs w:val="24"/>
        </w:rPr>
      </w:pPr>
      <w:r>
        <w:rPr>
          <w:rFonts w:hint="eastAsia" w:ascii="黑体" w:hAnsi="黑体" w:eastAsia="黑体" w:cs="黑体"/>
          <w:color w:val="000000"/>
          <w:sz w:val="24"/>
          <w:szCs w:val="24"/>
        </w:rPr>
        <w:t>十</w:t>
      </w:r>
      <w:r>
        <w:rPr>
          <w:rFonts w:hint="eastAsia" w:ascii="黑体" w:hAnsi="黑体" w:eastAsia="黑体" w:cs="黑体"/>
          <w:color w:val="000000"/>
          <w:sz w:val="24"/>
          <w:szCs w:val="24"/>
          <w:lang w:val="en-US" w:eastAsia="zh-CN"/>
        </w:rPr>
        <w:t>二</w:t>
      </w:r>
      <w:r>
        <w:rPr>
          <w:rFonts w:hint="eastAsia" w:ascii="黑体" w:hAnsi="黑体" w:eastAsia="黑体" w:cs="黑体"/>
          <w:color w:val="000000"/>
          <w:sz w:val="24"/>
          <w:szCs w:val="24"/>
        </w:rPr>
        <w:t>、申诉与仲裁</w:t>
      </w:r>
    </w:p>
    <w:p w14:paraId="6FB0EC55">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14:paraId="37B38667">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提出申诉的时间应在竞赛结束后（选手赛场竞赛内容全部完成）</w:t>
      </w:r>
      <w:r>
        <w:rPr>
          <w:rFonts w:hint="eastAsia" w:ascii="仿宋_GB2312" w:eastAsia="仿宋_GB2312" w:cs="仿宋_GB2312"/>
          <w:color w:val="000000"/>
          <w:sz w:val="24"/>
          <w:szCs w:val="24"/>
          <w:lang w:val="en-US" w:eastAsia="zh-CN"/>
        </w:rPr>
        <w:t>1</w:t>
      </w:r>
      <w:r>
        <w:rPr>
          <w:rFonts w:hint="eastAsia" w:ascii="仿宋_GB2312" w:eastAsia="仿宋_GB2312" w:cs="仿宋_GB2312"/>
          <w:color w:val="000000"/>
          <w:sz w:val="24"/>
          <w:szCs w:val="24"/>
        </w:rPr>
        <w:t>小时内。超过时效不予受理。赛项仲裁工作组在接到申诉报告后的</w:t>
      </w:r>
      <w:r>
        <w:rPr>
          <w:rFonts w:hint="eastAsia" w:ascii="仿宋_GB2312" w:eastAsia="仿宋_GB2312" w:cs="仿宋_GB2312"/>
          <w:color w:val="000000"/>
          <w:sz w:val="24"/>
          <w:szCs w:val="24"/>
          <w:lang w:val="en-US" w:eastAsia="zh-CN"/>
        </w:rPr>
        <w:t>1</w:t>
      </w:r>
      <w:r>
        <w:rPr>
          <w:rFonts w:hint="eastAsia" w:ascii="仿宋_GB2312" w:eastAsia="仿宋_GB2312" w:cs="仿宋_GB2312"/>
          <w:color w:val="000000"/>
          <w:sz w:val="24"/>
          <w:szCs w:val="24"/>
        </w:rPr>
        <w:t>小时内组织复议，并及时将复议结果以书面形式告知申诉方。申诉方对复议结果仍有异议，可由市领队向仲裁委员会提出申诉。仲裁委员会的仲裁结果为最终结果。申诉方可随时提出放弃申诉。</w:t>
      </w:r>
    </w:p>
    <w:p w14:paraId="3A911BE0">
      <w:pPr>
        <w:spacing w:line="360" w:lineRule="auto"/>
        <w:ind w:firstLine="480" w:firstLineChars="200"/>
        <w:rPr>
          <w:rFonts w:ascii="黑体" w:hAnsi="黑体" w:eastAsia="黑体"/>
          <w:color w:val="000000"/>
          <w:sz w:val="24"/>
          <w:szCs w:val="24"/>
        </w:rPr>
      </w:pPr>
      <w:r>
        <w:rPr>
          <w:rFonts w:hint="eastAsia" w:ascii="黑体" w:hAnsi="黑体" w:eastAsia="黑体" w:cs="黑体"/>
          <w:color w:val="000000"/>
          <w:sz w:val="24"/>
          <w:szCs w:val="24"/>
        </w:rPr>
        <w:t>十</w:t>
      </w:r>
      <w:r>
        <w:rPr>
          <w:rFonts w:hint="eastAsia" w:ascii="黑体" w:hAnsi="黑体" w:eastAsia="黑体" w:cs="黑体"/>
          <w:color w:val="000000"/>
          <w:sz w:val="24"/>
          <w:szCs w:val="24"/>
          <w:lang w:val="en-US" w:eastAsia="zh-CN"/>
        </w:rPr>
        <w:t>三</w:t>
      </w:r>
      <w:r>
        <w:rPr>
          <w:rFonts w:hint="eastAsia" w:ascii="黑体" w:hAnsi="黑体" w:eastAsia="黑体" w:cs="黑体"/>
          <w:color w:val="000000"/>
          <w:sz w:val="24"/>
          <w:szCs w:val="24"/>
        </w:rPr>
        <w:t>、竞赛须知</w:t>
      </w:r>
    </w:p>
    <w:p w14:paraId="65B7C916">
      <w:pPr>
        <w:adjustRightInd w:val="0"/>
        <w:snapToGrid w:val="0"/>
        <w:spacing w:line="360" w:lineRule="auto"/>
        <w:ind w:firstLine="482" w:firstLineChars="200"/>
        <w:rPr>
          <w:rFonts w:ascii="仿宋_GB2312" w:eastAsia="仿宋_GB2312"/>
          <w:b/>
          <w:bCs/>
          <w:color w:val="000000"/>
          <w:sz w:val="24"/>
          <w:szCs w:val="24"/>
        </w:rPr>
      </w:pP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一</w:t>
      </w: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参赛队须知</w:t>
      </w:r>
    </w:p>
    <w:p w14:paraId="2401FD1B">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1.</w:t>
      </w:r>
      <w:r>
        <w:rPr>
          <w:rFonts w:hint="eastAsia" w:ascii="仿宋_GB2312" w:eastAsia="仿宋_GB2312" w:cs="仿宋_GB2312"/>
          <w:color w:val="000000"/>
          <w:sz w:val="24"/>
          <w:szCs w:val="24"/>
        </w:rPr>
        <w:t>参赛队名称：统一使用规定的校代表队名称，不接受跨校组队报名。</w:t>
      </w:r>
    </w:p>
    <w:p w14:paraId="1520C372">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2</w:t>
      </w:r>
      <w:r>
        <w:rPr>
          <w:rFonts w:ascii="仿宋_GB2312" w:eastAsia="仿宋_GB2312" w:cs="仿宋_GB2312"/>
          <w:color w:val="000000"/>
          <w:sz w:val="24"/>
          <w:szCs w:val="24"/>
        </w:rPr>
        <w:t>.</w:t>
      </w:r>
      <w:r>
        <w:rPr>
          <w:rFonts w:hint="eastAsia" w:ascii="仿宋_GB2312" w:eastAsia="仿宋_GB2312" w:cs="仿宋_GB2312"/>
          <w:color w:val="000000"/>
          <w:sz w:val="24"/>
          <w:szCs w:val="24"/>
        </w:rPr>
        <w:t>参赛选手在报名获得确认后，原则上不再更换。如在筹备过程中，选手因故不能参赛，参赛学校主管部门需出具书面说明并按相关参赛选手资格补充人员并接受审核。竞赛开始后，参赛队不得更换参赛选手，允许队员缺席比赛。</w:t>
      </w:r>
    </w:p>
    <w:p w14:paraId="7E09A532">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3</w:t>
      </w:r>
      <w:r>
        <w:rPr>
          <w:rFonts w:ascii="仿宋_GB2312" w:eastAsia="仿宋_GB2312" w:cs="仿宋_GB2312"/>
          <w:color w:val="000000"/>
          <w:sz w:val="24"/>
          <w:szCs w:val="24"/>
        </w:rPr>
        <w:t>.</w:t>
      </w:r>
      <w:r>
        <w:rPr>
          <w:rFonts w:hint="eastAsia" w:ascii="仿宋_GB2312" w:eastAsia="仿宋_GB2312" w:cs="仿宋_GB2312"/>
          <w:color w:val="000000"/>
          <w:sz w:val="24"/>
          <w:szCs w:val="24"/>
        </w:rPr>
        <w:t>参赛队不得携带任何设备、工具、（包括通讯工具和存储设备等）技术资料。竞赛过程中所需的设备、工具、技术资料全部由组委会统一提供。</w:t>
      </w:r>
    </w:p>
    <w:p w14:paraId="2D9850AF">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4</w:t>
      </w:r>
      <w:r>
        <w:rPr>
          <w:rFonts w:ascii="仿宋_GB2312" w:eastAsia="仿宋_GB2312" w:cs="仿宋_GB2312"/>
          <w:color w:val="000000"/>
          <w:sz w:val="24"/>
          <w:szCs w:val="24"/>
        </w:rPr>
        <w:t>.</w:t>
      </w:r>
      <w:r>
        <w:rPr>
          <w:rFonts w:hint="eastAsia" w:ascii="仿宋_GB2312" w:eastAsia="仿宋_GB2312" w:cs="仿宋_GB2312"/>
          <w:color w:val="000000"/>
          <w:sz w:val="24"/>
          <w:szCs w:val="24"/>
        </w:rPr>
        <w:t>参赛选手在竞赛开始前一天，由执委会统一安排抽取竞赛工位号，并由参赛选手对抽签结果签字确认。</w:t>
      </w:r>
    </w:p>
    <w:p w14:paraId="5C56E8D9">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5</w:t>
      </w:r>
      <w:r>
        <w:rPr>
          <w:rFonts w:ascii="仿宋_GB2312" w:eastAsia="仿宋_GB2312" w:cs="仿宋_GB2312"/>
          <w:color w:val="000000"/>
          <w:sz w:val="24"/>
          <w:szCs w:val="24"/>
        </w:rPr>
        <w:t>.</w:t>
      </w:r>
      <w:r>
        <w:rPr>
          <w:rFonts w:hint="eastAsia" w:ascii="仿宋_GB2312" w:eastAsia="仿宋_GB2312" w:cs="仿宋_GB2312"/>
          <w:color w:val="000000"/>
          <w:sz w:val="24"/>
          <w:szCs w:val="24"/>
        </w:rPr>
        <w:t>各参赛队应在竞赛开始前一天规定的时间段进入赛场熟悉环境，入场后，赛场工作人员与参赛选手共同确认操作条件及设备状况。</w:t>
      </w:r>
    </w:p>
    <w:p w14:paraId="0C08E1B2">
      <w:pPr>
        <w:adjustRightInd w:val="0"/>
        <w:snapToGrid w:val="0"/>
        <w:spacing w:line="360" w:lineRule="auto"/>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6</w:t>
      </w:r>
      <w:r>
        <w:rPr>
          <w:rFonts w:ascii="仿宋_GB2312" w:eastAsia="仿宋_GB2312" w:cs="仿宋_GB2312"/>
          <w:color w:val="000000"/>
          <w:sz w:val="24"/>
          <w:szCs w:val="24"/>
        </w:rPr>
        <w:t>.</w:t>
      </w:r>
      <w:r>
        <w:rPr>
          <w:rFonts w:hint="eastAsia" w:ascii="仿宋_GB2312" w:eastAsia="仿宋_GB2312" w:cs="仿宋_GB2312"/>
          <w:color w:val="000000"/>
          <w:sz w:val="24"/>
          <w:szCs w:val="24"/>
        </w:rPr>
        <w:t>为防止参赛路途及竞赛过程意外的发生，建议参赛队领队、指导老师及参赛选手等购买意外伤害保险。</w:t>
      </w:r>
    </w:p>
    <w:p w14:paraId="05E3362D">
      <w:pPr>
        <w:adjustRightInd w:val="0"/>
        <w:snapToGrid w:val="0"/>
        <w:spacing w:line="360" w:lineRule="auto"/>
        <w:ind w:firstLine="482" w:firstLineChars="200"/>
        <w:rPr>
          <w:rFonts w:ascii="仿宋_GB2312" w:eastAsia="仿宋_GB2312"/>
          <w:b/>
          <w:bCs/>
          <w:color w:val="000000"/>
          <w:sz w:val="24"/>
          <w:szCs w:val="24"/>
        </w:rPr>
      </w:pPr>
      <w:r>
        <w:rPr>
          <w:rFonts w:ascii="仿宋_GB2312" w:eastAsia="仿宋_GB2312" w:cs="仿宋_GB2312"/>
          <w:b/>
          <w:bCs/>
          <w:color w:val="000000"/>
          <w:sz w:val="24"/>
          <w:szCs w:val="24"/>
        </w:rPr>
        <w:t>(</w:t>
      </w:r>
      <w:r>
        <w:rPr>
          <w:rFonts w:hint="eastAsia" w:ascii="仿宋_GB2312" w:eastAsia="仿宋_GB2312" w:cs="仿宋_GB2312"/>
          <w:b/>
          <w:bCs/>
          <w:color w:val="000000"/>
          <w:sz w:val="24"/>
          <w:szCs w:val="24"/>
        </w:rPr>
        <w:t>二</w:t>
      </w:r>
      <w:r>
        <w:rPr>
          <w:rFonts w:ascii="仿宋_GB2312" w:eastAsia="仿宋_GB2312" w:cs="仿宋_GB2312"/>
          <w:b/>
          <w:bCs/>
          <w:color w:val="000000"/>
          <w:sz w:val="24"/>
          <w:szCs w:val="24"/>
        </w:rPr>
        <w:t>)</w:t>
      </w:r>
      <w:r>
        <w:rPr>
          <w:rFonts w:hint="eastAsia" w:ascii="仿宋_GB2312" w:eastAsia="仿宋_GB2312" w:cs="仿宋_GB2312"/>
          <w:b/>
          <w:bCs/>
          <w:color w:val="000000"/>
          <w:sz w:val="24"/>
          <w:szCs w:val="24"/>
        </w:rPr>
        <w:t>指导教师须知</w:t>
      </w:r>
    </w:p>
    <w:p w14:paraId="58F589C7">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1.</w:t>
      </w:r>
      <w:r>
        <w:rPr>
          <w:rFonts w:hint="eastAsia" w:ascii="仿宋_GB2312" w:eastAsia="仿宋_GB2312" w:cs="仿宋_GB2312"/>
          <w:color w:val="000000"/>
          <w:sz w:val="24"/>
          <w:szCs w:val="24"/>
        </w:rPr>
        <w:t>各个参赛队的指导教师及领队不得进入比赛现场指导。</w:t>
      </w:r>
    </w:p>
    <w:p w14:paraId="1B627E29">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2.</w:t>
      </w:r>
      <w:r>
        <w:rPr>
          <w:rFonts w:hint="eastAsia" w:ascii="仿宋_GB2312" w:eastAsia="仿宋_GB2312" w:cs="仿宋_GB2312"/>
          <w:color w:val="000000"/>
          <w:sz w:val="24"/>
          <w:szCs w:val="24"/>
        </w:rPr>
        <w:t>指导教师不得在赛场外喧哗，影响赛场纪律。</w:t>
      </w:r>
    </w:p>
    <w:p w14:paraId="766CE3F2">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3.</w:t>
      </w:r>
      <w:r>
        <w:rPr>
          <w:rFonts w:hint="eastAsia" w:ascii="仿宋_GB2312" w:eastAsia="仿宋_GB2312" w:cs="仿宋_GB2312"/>
          <w:color w:val="000000"/>
          <w:sz w:val="24"/>
          <w:szCs w:val="24"/>
        </w:rPr>
        <w:t>对比赛过程及结果有疑议者，应及时通过领队向仲裁长提出书面申请。</w:t>
      </w:r>
    </w:p>
    <w:p w14:paraId="6DDE9CDB">
      <w:pPr>
        <w:adjustRightInd w:val="0"/>
        <w:snapToGrid w:val="0"/>
        <w:spacing w:line="360" w:lineRule="auto"/>
        <w:ind w:firstLine="482" w:firstLineChars="200"/>
        <w:rPr>
          <w:rFonts w:ascii="仿宋_GB2312" w:eastAsia="仿宋_GB2312"/>
          <w:b/>
          <w:bCs/>
          <w:color w:val="000000"/>
          <w:sz w:val="24"/>
          <w:szCs w:val="24"/>
        </w:rPr>
      </w:pPr>
      <w:r>
        <w:rPr>
          <w:rFonts w:ascii="仿宋_GB2312" w:eastAsia="仿宋_GB2312" w:cs="仿宋_GB2312"/>
          <w:b/>
          <w:bCs/>
          <w:color w:val="000000"/>
          <w:sz w:val="24"/>
          <w:szCs w:val="24"/>
        </w:rPr>
        <w:t>(</w:t>
      </w:r>
      <w:r>
        <w:rPr>
          <w:rFonts w:hint="eastAsia" w:ascii="仿宋_GB2312" w:eastAsia="仿宋_GB2312" w:cs="仿宋_GB2312"/>
          <w:b/>
          <w:bCs/>
          <w:color w:val="000000"/>
          <w:sz w:val="24"/>
          <w:szCs w:val="24"/>
        </w:rPr>
        <w:t>三</w:t>
      </w:r>
      <w:r>
        <w:rPr>
          <w:rFonts w:ascii="仿宋_GB2312" w:eastAsia="仿宋_GB2312" w:cs="仿宋_GB2312"/>
          <w:b/>
          <w:bCs/>
          <w:color w:val="000000"/>
          <w:sz w:val="24"/>
          <w:szCs w:val="24"/>
        </w:rPr>
        <w:t>)</w:t>
      </w:r>
      <w:r>
        <w:rPr>
          <w:rFonts w:hint="eastAsia" w:ascii="仿宋_GB2312" w:eastAsia="仿宋_GB2312" w:cs="仿宋_GB2312"/>
          <w:b/>
          <w:bCs/>
          <w:color w:val="000000"/>
          <w:sz w:val="24"/>
          <w:szCs w:val="24"/>
        </w:rPr>
        <w:t>参赛选手须知</w:t>
      </w:r>
    </w:p>
    <w:p w14:paraId="5F99BA7D">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1.</w:t>
      </w:r>
      <w:r>
        <w:rPr>
          <w:rFonts w:hint="eastAsia" w:ascii="仿宋_GB2312" w:eastAsia="仿宋_GB2312" w:cs="仿宋_GB2312"/>
          <w:color w:val="000000"/>
          <w:sz w:val="24"/>
          <w:szCs w:val="24"/>
        </w:rPr>
        <w:t>参赛选手应严格遵守赛场规章、操作规程，保证人身及设备安全，接受裁判员的监督和警示，文明竞赛。</w:t>
      </w:r>
    </w:p>
    <w:p w14:paraId="2BC9275E">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2.</w:t>
      </w:r>
      <w:r>
        <w:rPr>
          <w:rFonts w:hint="eastAsia" w:ascii="仿宋_GB2312" w:eastAsia="仿宋_GB2312" w:cs="仿宋_GB2312"/>
          <w:color w:val="000000"/>
          <w:sz w:val="24"/>
          <w:szCs w:val="24"/>
        </w:rPr>
        <w:t>参赛选手凭身份证件参加竞赛及相关活动。</w:t>
      </w:r>
    </w:p>
    <w:p w14:paraId="226F98DC">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3.</w:t>
      </w:r>
      <w:r>
        <w:rPr>
          <w:rFonts w:hint="eastAsia" w:ascii="仿宋_GB2312" w:eastAsia="仿宋_GB2312" w:cs="仿宋_GB2312"/>
          <w:color w:val="000000"/>
          <w:sz w:val="24"/>
          <w:szCs w:val="24"/>
        </w:rPr>
        <w:t>参赛选手按规定时间进入竞赛场地，对现场条件进行确认并签字，按统一指令开始竞赛，在收到开赛信号前不得启动操作。各参赛队自行决定分工、工作程序和时间安排，在指定工位上完成竞赛项目。</w:t>
      </w:r>
    </w:p>
    <w:p w14:paraId="7F979392">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4.</w:t>
      </w:r>
      <w:r>
        <w:rPr>
          <w:rFonts w:hint="eastAsia" w:ascii="仿宋_GB2312" w:eastAsia="仿宋_GB2312" w:cs="仿宋_GB2312"/>
          <w:color w:val="000000"/>
          <w:sz w:val="24"/>
          <w:szCs w:val="24"/>
        </w:rPr>
        <w:t>选手比赛时间内连续工作，食品、饮水等由赛场统一提供。选手休息、饮食及如厕时间均计算在比赛时间内。</w:t>
      </w:r>
    </w:p>
    <w:p w14:paraId="618850AA">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5.</w:t>
      </w:r>
      <w:r>
        <w:rPr>
          <w:rFonts w:hint="eastAsia" w:ascii="仿宋_GB2312" w:eastAsia="仿宋_GB2312" w:cs="仿宋_GB2312"/>
          <w:color w:val="000000"/>
          <w:sz w:val="24"/>
          <w:szCs w:val="24"/>
        </w:rPr>
        <w:t>竞赛期间，选手不得提前离开赛场。如特殊原因（如身体不适等）无法继续参赛的，需举手请示裁判，经裁判同意后方可离开赛场。选手离开赛场后不得在场外逗留，也不得再返回赛场。</w:t>
      </w:r>
    </w:p>
    <w:p w14:paraId="7355774A">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6.</w:t>
      </w:r>
      <w:r>
        <w:rPr>
          <w:rFonts w:hint="eastAsia" w:ascii="仿宋_GB2312" w:eastAsia="仿宋_GB2312" w:cs="仿宋_GB2312"/>
          <w:color w:val="000000"/>
          <w:sz w:val="24"/>
          <w:szCs w:val="24"/>
        </w:rPr>
        <w:t>竞赛结束时间到后，选手不得再进行任何与竞赛有关的操作。参赛队若提前结束比赛，应向裁判员举手示意，裁判员记录比赛完成时间。</w:t>
      </w:r>
    </w:p>
    <w:p w14:paraId="58015F17">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7.</w:t>
      </w:r>
      <w:r>
        <w:rPr>
          <w:rFonts w:hint="eastAsia" w:ascii="仿宋_GB2312" w:eastAsia="仿宋_GB2312" w:cs="仿宋_GB2312"/>
          <w:color w:val="000000"/>
          <w:sz w:val="24"/>
          <w:szCs w:val="24"/>
        </w:rPr>
        <w:t>参赛选手须按照竞赛要求及规定提交竞赛结果及相关文件，禁止在竞赛成果上做任何与竞赛无关的标记，如单位名称、参赛者姓名等，否则视为作弊。</w:t>
      </w:r>
    </w:p>
    <w:p w14:paraId="2DD487CD">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8.</w:t>
      </w:r>
      <w:r>
        <w:rPr>
          <w:rFonts w:hint="eastAsia" w:ascii="仿宋_GB2312" w:eastAsia="仿宋_GB2312" w:cs="仿宋_GB2312"/>
          <w:color w:val="000000"/>
          <w:sz w:val="24"/>
          <w:szCs w:val="24"/>
        </w:rPr>
        <w:t>参赛选手须严格遵守操作规程，确保人身及设备安全。竞赛期间，若因选手个人原因出现安全事件或设备故障不能进行竞赛的，由裁判组裁定其竞赛结束，保留竞赛资格，累计其有效竞赛成绩；非选手个人原因出现的设备故障，由裁判组做出裁决，可视具体情况给选手补足排除故障耗费时间。</w:t>
      </w:r>
    </w:p>
    <w:p w14:paraId="5A1AB5DE">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9.</w:t>
      </w:r>
      <w:r>
        <w:rPr>
          <w:rFonts w:hint="eastAsia" w:ascii="仿宋_GB2312" w:eastAsia="仿宋_GB2312" w:cs="仿宋_GB2312"/>
          <w:color w:val="000000"/>
          <w:sz w:val="24"/>
          <w:szCs w:val="24"/>
        </w:rPr>
        <w:t>参赛选手须严格遵守赛场规章制度、服从裁判，文明竞赛。有作弊行为的，参赛队该项成绩为</w:t>
      </w:r>
      <w:r>
        <w:rPr>
          <w:rFonts w:ascii="仿宋_GB2312" w:eastAsia="仿宋_GB2312" w:cs="仿宋_GB2312"/>
          <w:color w:val="000000"/>
          <w:sz w:val="24"/>
          <w:szCs w:val="24"/>
        </w:rPr>
        <w:t>0</w:t>
      </w:r>
      <w:r>
        <w:rPr>
          <w:rFonts w:hint="eastAsia" w:ascii="仿宋_GB2312" w:eastAsia="仿宋_GB2312" w:cs="仿宋_GB2312"/>
          <w:color w:val="000000"/>
          <w:sz w:val="24"/>
          <w:szCs w:val="24"/>
        </w:rPr>
        <w:t>分；如有不服从裁判、扰乱赛场秩序等不文明行为，按照相关规定扣减分数，情节严重的取消比赛资格和成绩。</w:t>
      </w:r>
    </w:p>
    <w:p w14:paraId="4853BC56">
      <w:pPr>
        <w:adjustRightInd w:val="0"/>
        <w:snapToGrid w:val="0"/>
        <w:spacing w:line="360" w:lineRule="auto"/>
        <w:ind w:firstLine="482" w:firstLineChars="200"/>
        <w:rPr>
          <w:rFonts w:ascii="仿宋_GB2312" w:eastAsia="仿宋_GB2312"/>
          <w:b/>
          <w:bCs/>
          <w:color w:val="000000"/>
          <w:sz w:val="24"/>
          <w:szCs w:val="24"/>
        </w:rPr>
      </w:pPr>
      <w:r>
        <w:rPr>
          <w:rFonts w:ascii="仿宋_GB2312" w:eastAsia="仿宋_GB2312" w:cs="仿宋_GB2312"/>
          <w:b/>
          <w:bCs/>
          <w:color w:val="000000"/>
          <w:sz w:val="24"/>
          <w:szCs w:val="24"/>
        </w:rPr>
        <w:t xml:space="preserve"> (</w:t>
      </w:r>
      <w:r>
        <w:rPr>
          <w:rFonts w:hint="eastAsia" w:ascii="仿宋_GB2312" w:eastAsia="仿宋_GB2312" w:cs="仿宋_GB2312"/>
          <w:b/>
          <w:bCs/>
          <w:color w:val="000000"/>
          <w:sz w:val="24"/>
          <w:szCs w:val="24"/>
        </w:rPr>
        <w:t>四</w:t>
      </w:r>
      <w:r>
        <w:rPr>
          <w:rFonts w:ascii="仿宋_GB2312" w:eastAsia="仿宋_GB2312" w:cs="仿宋_GB2312"/>
          <w:b/>
          <w:bCs/>
          <w:color w:val="000000"/>
          <w:sz w:val="24"/>
          <w:szCs w:val="24"/>
        </w:rPr>
        <w:t>)</w:t>
      </w:r>
      <w:r>
        <w:rPr>
          <w:rFonts w:hint="eastAsia" w:ascii="仿宋_GB2312" w:eastAsia="仿宋_GB2312" w:cs="仿宋_GB2312"/>
          <w:b/>
          <w:bCs/>
          <w:color w:val="000000"/>
          <w:sz w:val="24"/>
          <w:szCs w:val="24"/>
        </w:rPr>
        <w:t>工作人员须知</w:t>
      </w:r>
    </w:p>
    <w:p w14:paraId="01F38CC3">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1.</w:t>
      </w:r>
      <w:r>
        <w:rPr>
          <w:rFonts w:hint="eastAsia" w:ascii="仿宋_GB2312" w:eastAsia="仿宋_GB2312" w:cs="仿宋_GB2312"/>
          <w:color w:val="000000"/>
          <w:sz w:val="24"/>
          <w:szCs w:val="24"/>
        </w:rPr>
        <w:t>赛场工作人员由大赛组委会统一聘用并进行工作分工。</w:t>
      </w:r>
    </w:p>
    <w:p w14:paraId="4DCACAE2">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2.</w:t>
      </w:r>
      <w:r>
        <w:rPr>
          <w:rFonts w:hint="eastAsia" w:ascii="仿宋_GB2312" w:eastAsia="仿宋_GB2312" w:cs="仿宋_GB2312"/>
          <w:color w:val="000000"/>
          <w:sz w:val="24"/>
          <w:szCs w:val="24"/>
        </w:rPr>
        <w:t>服从大赛组委会的领导，遵守职业道德、坚持原则、按章办事，以高度负责的精神、严肃认真的态度和严谨细致的作风做好工作，为赛场提供有序的服务。</w:t>
      </w:r>
    </w:p>
    <w:p w14:paraId="3CF9E03C">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3.</w:t>
      </w:r>
      <w:r>
        <w:rPr>
          <w:rFonts w:hint="eastAsia" w:ascii="仿宋_GB2312" w:eastAsia="仿宋_GB2312" w:cs="仿宋_GB2312"/>
          <w:color w:val="000000"/>
          <w:sz w:val="24"/>
          <w:szCs w:val="24"/>
        </w:rPr>
        <w:t>必须佩带工作人员证件，仪表整洁，语言举止文明礼貌。</w:t>
      </w:r>
    </w:p>
    <w:p w14:paraId="546BECDC">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4.</w:t>
      </w:r>
      <w:r>
        <w:rPr>
          <w:rFonts w:hint="eastAsia" w:ascii="仿宋_GB2312" w:eastAsia="仿宋_GB2312" w:cs="仿宋_GB2312"/>
          <w:color w:val="000000"/>
          <w:sz w:val="24"/>
          <w:szCs w:val="24"/>
        </w:rPr>
        <w:t>熟悉《竞赛规程》，认真执行竞赛规则，严格按照工作程序和有关规定办事。</w:t>
      </w:r>
    </w:p>
    <w:p w14:paraId="0FDE6A35">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5.</w:t>
      </w:r>
      <w:r>
        <w:rPr>
          <w:rFonts w:hint="eastAsia" w:ascii="仿宋_GB2312" w:eastAsia="仿宋_GB2312" w:cs="仿宋_GB2312"/>
          <w:color w:val="000000"/>
          <w:sz w:val="24"/>
          <w:szCs w:val="24"/>
        </w:rPr>
        <w:t>坚守岗位，不迟到，不早退，不擅离职守。</w:t>
      </w:r>
    </w:p>
    <w:p w14:paraId="0504170B">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6.</w:t>
      </w:r>
      <w:r>
        <w:rPr>
          <w:rFonts w:hint="eastAsia" w:ascii="仿宋_GB2312" w:eastAsia="仿宋_GB2312" w:cs="仿宋_GB2312"/>
          <w:color w:val="000000"/>
          <w:sz w:val="24"/>
          <w:szCs w:val="24"/>
        </w:rPr>
        <w:t>赛场工作人员要积极维护好赛场秩序，以利于参赛选手正常发挥水平。</w:t>
      </w:r>
    </w:p>
    <w:p w14:paraId="59A74487">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7.</w:t>
      </w:r>
      <w:r>
        <w:rPr>
          <w:rFonts w:hint="eastAsia" w:ascii="仿宋_GB2312" w:eastAsia="仿宋_GB2312" w:cs="仿宋_GB2312"/>
          <w:color w:val="000000"/>
          <w:sz w:val="24"/>
          <w:szCs w:val="24"/>
        </w:rPr>
        <w:t>赛场工作人员在比赛中不回答选手提出的任何有关比赛技术问题，如遇争议问题，需上报执委会。</w:t>
      </w:r>
    </w:p>
    <w:p w14:paraId="6B8AC1DF">
      <w:pPr>
        <w:adjustRightInd w:val="0"/>
        <w:snapToGrid w:val="0"/>
        <w:spacing w:line="360" w:lineRule="auto"/>
        <w:ind w:firstLine="480" w:firstLineChars="200"/>
        <w:rPr>
          <w:rFonts w:ascii="仿宋_GB2312" w:eastAsia="仿宋_GB2312"/>
          <w:color w:val="000000"/>
          <w:sz w:val="24"/>
          <w:szCs w:val="24"/>
        </w:rPr>
      </w:pPr>
      <w:r>
        <w:rPr>
          <w:rFonts w:ascii="仿宋_GB2312" w:eastAsia="仿宋_GB2312" w:cs="仿宋_GB2312"/>
          <w:color w:val="000000"/>
          <w:sz w:val="24"/>
          <w:szCs w:val="24"/>
        </w:rPr>
        <w:t>8.</w:t>
      </w:r>
      <w:r>
        <w:rPr>
          <w:rFonts w:hint="eastAsia" w:ascii="仿宋_GB2312" w:eastAsia="仿宋_GB2312" w:cs="仿宋_GB2312"/>
          <w:color w:val="000000"/>
          <w:sz w:val="24"/>
          <w:szCs w:val="24"/>
        </w:rPr>
        <w:t>违反规定，给竞赛带来恶劣影响或造成严重损失的，将给予必要的处理。</w:t>
      </w:r>
    </w:p>
    <w:p w14:paraId="42AE2192">
      <w:pPr>
        <w:spacing w:line="360" w:lineRule="auto"/>
        <w:ind w:firstLine="480" w:firstLineChars="200"/>
        <w:rPr>
          <w:rFonts w:hint="eastAsia" w:ascii="仿宋_GB2312" w:eastAsia="仿宋_GB2312" w:cs="仿宋_GB2312"/>
          <w:color w:val="000000"/>
          <w:sz w:val="24"/>
          <w:szCs w:val="24"/>
          <w:lang w:val="en-US" w:eastAsia="zh-CN"/>
        </w:rPr>
      </w:pPr>
      <w:r>
        <w:rPr>
          <w:rFonts w:hint="eastAsia" w:ascii="黑体" w:hAnsi="黑体" w:eastAsia="黑体" w:cs="黑体"/>
          <w:color w:val="000000"/>
          <w:sz w:val="24"/>
          <w:szCs w:val="24"/>
          <w:lang w:val="en-US" w:eastAsia="zh-CN"/>
        </w:rPr>
        <w:t>十四、本竞赛项目的最终解释权归大赛组委会。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D90B2A"/>
    <w:multiLevelType w:val="singleLevel"/>
    <w:tmpl w:val="48D90B2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YzM4Mzc1NDk1YzhjNjM5MTliZTQ3ZDgyNDQzYzkifQ=="/>
  </w:docVars>
  <w:rsids>
    <w:rsidRoot w:val="5A1C1861"/>
    <w:rsid w:val="03A70860"/>
    <w:rsid w:val="1A590606"/>
    <w:rsid w:val="24241B94"/>
    <w:rsid w:val="3E534B49"/>
    <w:rsid w:val="3F0C522A"/>
    <w:rsid w:val="44B55AAC"/>
    <w:rsid w:val="4C13147E"/>
    <w:rsid w:val="4F990B38"/>
    <w:rsid w:val="546B145D"/>
    <w:rsid w:val="5A1C1861"/>
    <w:rsid w:val="5BB61A21"/>
    <w:rsid w:val="64A42063"/>
    <w:rsid w:val="71F7173B"/>
    <w:rsid w:val="75082FC0"/>
    <w:rsid w:val="79933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2987</Words>
  <Characters>3324</Characters>
  <Lines>0</Lines>
  <Paragraphs>0</Paragraphs>
  <TotalTime>29</TotalTime>
  <ScaleCrop>false</ScaleCrop>
  <LinksUpToDate>false</LinksUpToDate>
  <CharactersWithSpaces>3386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2024-04-09T07:53:00Z</dcterms:created>
  <dc:creator>✿❁✲ﾟ✺</dc:creator>
  <cp:lastModifiedBy>长江</cp:lastModifiedBy>
  <dcterms:modified xsi:type="dcterms:W3CDTF">2025-06-10T23:46:48Z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4948578AAAE1461B89D2D27DD93C824D_13</vt:lpwstr>
  </property>
  <property fmtid="{D5CDD505-2E9C-101B-9397-08002B2CF9AE}" pid="4" name="KSOTemplateDocerSaveRecord">
    <vt:lpwstr>eyJoZGlkIjoiMDZlYjEyMjZlYWJmMWZkNGUzNmEyNzljZjc5ZDNlNGYiLCJ1c2VySWQiOiI5OTMxNjk1MzgifQ==</vt:lpwstr>
  </property>
</Properties>
</file>