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C08FA">
      <w:pPr>
        <w:spacing w:line="360" w:lineRule="auto"/>
        <w:ind w:right="1232"/>
        <w:rPr>
          <w:rFonts w:eastAsia="黑体"/>
          <w:b/>
          <w:bCs/>
          <w:kern w:val="44"/>
          <w:sz w:val="36"/>
          <w:szCs w:val="36"/>
        </w:rPr>
      </w:pPr>
      <w:r>
        <w:rPr>
          <w:rFonts w:hint="eastAsia" w:eastAsia="黑体"/>
          <w:b/>
          <w:bCs/>
          <w:kern w:val="44"/>
          <w:sz w:val="36"/>
          <w:szCs w:val="36"/>
        </w:rPr>
        <w:t>附件一：</w:t>
      </w:r>
    </w:p>
    <w:p w14:paraId="4D614985">
      <w:pPr>
        <w:spacing w:line="360" w:lineRule="auto"/>
        <w:ind w:right="1232"/>
        <w:rPr>
          <w:rFonts w:eastAsia="黑体"/>
          <w:b/>
          <w:bCs/>
          <w:kern w:val="44"/>
          <w:sz w:val="36"/>
          <w:szCs w:val="36"/>
        </w:rPr>
      </w:pPr>
    </w:p>
    <w:p w14:paraId="284E3FF8">
      <w:pPr>
        <w:spacing w:line="360" w:lineRule="auto"/>
        <w:jc w:val="center"/>
        <w:rPr>
          <w:rFonts w:eastAsia="黑体"/>
          <w:sz w:val="36"/>
          <w:szCs w:val="36"/>
        </w:rPr>
      </w:pPr>
      <w:r>
        <w:rPr>
          <w:rFonts w:eastAsia="黑体"/>
          <w:sz w:val="36"/>
          <w:szCs w:val="36"/>
        </w:rPr>
        <w:t>202</w:t>
      </w:r>
      <w:r>
        <w:rPr>
          <w:rFonts w:hint="eastAsia" w:eastAsia="黑体"/>
          <w:sz w:val="36"/>
          <w:szCs w:val="36"/>
          <w:lang w:val="en-US" w:eastAsia="zh-CN"/>
        </w:rPr>
        <w:t>5</w:t>
      </w:r>
      <w:r>
        <w:rPr>
          <w:rFonts w:eastAsia="黑体"/>
          <w:sz w:val="36"/>
          <w:szCs w:val="36"/>
        </w:rPr>
        <w:t>年</w:t>
      </w:r>
      <w:r>
        <w:rPr>
          <w:rFonts w:hint="eastAsia" w:eastAsia="黑体"/>
          <w:sz w:val="36"/>
          <w:szCs w:val="36"/>
          <w:lang w:val="en-US" w:eastAsia="zh-CN"/>
        </w:rPr>
        <w:t>唐山市</w:t>
      </w:r>
      <w:r>
        <w:rPr>
          <w:rFonts w:hint="eastAsia" w:eastAsia="黑体"/>
          <w:sz w:val="36"/>
          <w:szCs w:val="36"/>
        </w:rPr>
        <w:t>中等</w:t>
      </w:r>
      <w:r>
        <w:rPr>
          <w:rFonts w:eastAsia="黑体"/>
          <w:sz w:val="36"/>
          <w:szCs w:val="36"/>
        </w:rPr>
        <w:t>职业</w:t>
      </w:r>
      <w:r>
        <w:rPr>
          <w:rFonts w:hint="eastAsia" w:eastAsia="黑体"/>
          <w:sz w:val="36"/>
          <w:szCs w:val="36"/>
        </w:rPr>
        <w:t>学校</w:t>
      </w:r>
      <w:r>
        <w:rPr>
          <w:rFonts w:eastAsia="黑体"/>
          <w:sz w:val="36"/>
          <w:szCs w:val="36"/>
        </w:rPr>
        <w:t>技能</w:t>
      </w:r>
      <w:r>
        <w:rPr>
          <w:rFonts w:hint="eastAsia" w:eastAsia="黑体"/>
          <w:sz w:val="36"/>
          <w:szCs w:val="36"/>
          <w:lang w:val="en-US" w:eastAsia="zh-CN"/>
        </w:rPr>
        <w:t>竞</w:t>
      </w:r>
      <w:r>
        <w:rPr>
          <w:rFonts w:eastAsia="黑体"/>
          <w:sz w:val="36"/>
          <w:szCs w:val="36"/>
        </w:rPr>
        <w:t>赛 “新材料智能生产与产品</w:t>
      </w:r>
      <w:r>
        <w:rPr>
          <w:rFonts w:hint="eastAsia" w:eastAsia="黑体"/>
          <w:sz w:val="36"/>
          <w:szCs w:val="36"/>
          <w:lang w:val="en-US" w:eastAsia="zh-CN"/>
        </w:rPr>
        <w:t>检验</w:t>
      </w:r>
      <w:r>
        <w:rPr>
          <w:rFonts w:eastAsia="黑体"/>
          <w:sz w:val="36"/>
          <w:szCs w:val="36"/>
        </w:rPr>
        <w:t>”</w:t>
      </w:r>
      <w:r>
        <w:rPr>
          <w:rFonts w:hint="eastAsia" w:eastAsia="黑体"/>
          <w:sz w:val="36"/>
          <w:szCs w:val="36"/>
        </w:rPr>
        <w:t>项目比赛</w:t>
      </w:r>
      <w:r>
        <w:rPr>
          <w:rFonts w:eastAsia="黑体"/>
          <w:sz w:val="36"/>
          <w:szCs w:val="36"/>
        </w:rPr>
        <w:t>规程</w:t>
      </w:r>
    </w:p>
    <w:p w14:paraId="5CF8DFF7">
      <w:pPr>
        <w:spacing w:line="360" w:lineRule="auto"/>
        <w:ind w:right="1232"/>
        <w:rPr>
          <w:rFonts w:eastAsia="黑体"/>
          <w:sz w:val="36"/>
          <w:szCs w:val="36"/>
        </w:rPr>
      </w:pPr>
    </w:p>
    <w:p w14:paraId="52B4DC86">
      <w:pPr>
        <w:spacing w:line="360" w:lineRule="auto"/>
        <w:ind w:right="1232"/>
        <w:rPr>
          <w:rFonts w:ascii="黑体" w:hAnsi="黑体" w:eastAsia="黑体"/>
          <w:b/>
          <w:bCs/>
          <w:kern w:val="44"/>
          <w:sz w:val="30"/>
          <w:szCs w:val="30"/>
        </w:rPr>
      </w:pPr>
      <w:r>
        <w:rPr>
          <w:rFonts w:ascii="黑体" w:hAnsi="黑体" w:eastAsia="黑体" w:cs="宋体"/>
          <w:sz w:val="30"/>
          <w:szCs w:val="30"/>
        </w:rPr>
        <w:t>一、</w:t>
      </w:r>
      <w:r>
        <w:rPr>
          <w:rFonts w:hint="eastAsia" w:ascii="黑体" w:hAnsi="黑体" w:eastAsia="黑体" w:cs="宋体"/>
          <w:sz w:val="30"/>
          <w:szCs w:val="30"/>
        </w:rPr>
        <w:t>比赛</w:t>
      </w:r>
      <w:r>
        <w:rPr>
          <w:rFonts w:ascii="黑体" w:hAnsi="黑体" w:eastAsia="黑体" w:cs="宋体"/>
          <w:sz w:val="30"/>
          <w:szCs w:val="30"/>
        </w:rPr>
        <w:t>名称</w:t>
      </w:r>
    </w:p>
    <w:p w14:paraId="7F7CD9B1">
      <w:pPr>
        <w:spacing w:line="500" w:lineRule="exact"/>
        <w:ind w:firstLine="480" w:firstLineChars="200"/>
        <w:rPr>
          <w:sz w:val="24"/>
        </w:rPr>
      </w:pPr>
      <w:r>
        <w:rPr>
          <w:rFonts w:hint="eastAsia"/>
          <w:sz w:val="24"/>
        </w:rPr>
        <w:t>比赛</w:t>
      </w:r>
      <w:r>
        <w:rPr>
          <w:sz w:val="24"/>
        </w:rPr>
        <w:t>名称：新材料智能生产与产品检验</w:t>
      </w:r>
    </w:p>
    <w:p w14:paraId="73B85368">
      <w:pPr>
        <w:spacing w:line="500" w:lineRule="exact"/>
        <w:ind w:firstLine="480" w:firstLineChars="200"/>
        <w:rPr>
          <w:sz w:val="24"/>
        </w:rPr>
      </w:pPr>
      <w:r>
        <w:rPr>
          <w:rFonts w:hint="eastAsia"/>
          <w:sz w:val="24"/>
        </w:rPr>
        <w:t>比赛</w:t>
      </w:r>
      <w:r>
        <w:rPr>
          <w:sz w:val="24"/>
        </w:rPr>
        <w:t>组别：中职组</w:t>
      </w:r>
    </w:p>
    <w:p w14:paraId="0164C395">
      <w:pPr>
        <w:spacing w:line="500" w:lineRule="exact"/>
        <w:ind w:firstLine="480" w:firstLineChars="200"/>
        <w:rPr>
          <w:sz w:val="24"/>
        </w:rPr>
      </w:pPr>
      <w:r>
        <w:rPr>
          <w:rFonts w:hint="eastAsia"/>
          <w:sz w:val="24"/>
        </w:rPr>
        <w:t>比赛</w:t>
      </w:r>
      <w:r>
        <w:rPr>
          <w:sz w:val="24"/>
        </w:rPr>
        <w:t>归属专业大类：能源动力与材料类</w:t>
      </w:r>
    </w:p>
    <w:p w14:paraId="11AFD5EB">
      <w:pPr>
        <w:spacing w:line="360" w:lineRule="auto"/>
        <w:ind w:right="1232"/>
        <w:rPr>
          <w:rFonts w:ascii="黑体" w:hAnsi="黑体" w:eastAsia="黑体" w:cs="宋体"/>
          <w:sz w:val="30"/>
          <w:szCs w:val="30"/>
        </w:rPr>
      </w:pPr>
      <w:r>
        <w:rPr>
          <w:rFonts w:ascii="黑体" w:hAnsi="黑体" w:eastAsia="黑体" w:cs="宋体"/>
          <w:sz w:val="30"/>
          <w:szCs w:val="30"/>
        </w:rPr>
        <w:t>二、</w:t>
      </w:r>
      <w:r>
        <w:rPr>
          <w:rFonts w:hint="eastAsia" w:ascii="黑体" w:hAnsi="黑体" w:eastAsia="黑体" w:cs="宋体"/>
          <w:sz w:val="30"/>
          <w:szCs w:val="30"/>
        </w:rPr>
        <w:t>比赛</w:t>
      </w:r>
      <w:r>
        <w:rPr>
          <w:rFonts w:ascii="黑体" w:hAnsi="黑体" w:eastAsia="黑体" w:cs="宋体"/>
          <w:sz w:val="30"/>
          <w:szCs w:val="30"/>
        </w:rPr>
        <w:t>目的</w:t>
      </w:r>
    </w:p>
    <w:p w14:paraId="21AE40FC">
      <w:pPr>
        <w:spacing w:line="500" w:lineRule="exact"/>
        <w:ind w:firstLine="480" w:firstLineChars="200"/>
        <w:rPr>
          <w:sz w:val="24"/>
        </w:rPr>
      </w:pPr>
      <w:r>
        <w:rPr>
          <w:sz w:val="24"/>
        </w:rPr>
        <w:t xml:space="preserve">深入贯彻党的二十大精神，落实《国家职业教育改革实施方案》，服务新材料产业“高端化、智能化、绿色化”重大发展战略，对接新材料智能生产领域人才培养要求，服务学生全面发展和可持续发展、深化产教融合、科教融汇，实施产教协同育人。通过对接国家专业教学标准、行业生产标准等标准，紧扣新材料生产领域岗位群和典型工作任务，完善“岗课赛证”教学模式，引领能源动力与材料大类相关专业建设和教学改革，推动职业院校“双师型”师资队伍建设，大力培养适应我省经济与社会发展的高素质劳动者和技术技能型人才，强化职业院校学生职业技能训练和职业能力的综合运用，推动中等职业教育高质量发展。 </w:t>
      </w:r>
    </w:p>
    <w:p w14:paraId="34FFD3C2">
      <w:pPr>
        <w:spacing w:line="360" w:lineRule="auto"/>
        <w:ind w:right="1232"/>
        <w:rPr>
          <w:rFonts w:ascii="黑体" w:hAnsi="黑体" w:eastAsia="黑体" w:cs="宋体"/>
          <w:sz w:val="30"/>
          <w:szCs w:val="30"/>
        </w:rPr>
      </w:pPr>
      <w:r>
        <w:rPr>
          <w:rFonts w:ascii="黑体" w:hAnsi="黑体" w:eastAsia="黑体" w:cs="宋体"/>
          <w:sz w:val="30"/>
          <w:szCs w:val="30"/>
        </w:rPr>
        <w:t>三、</w:t>
      </w:r>
      <w:r>
        <w:rPr>
          <w:rFonts w:hint="eastAsia" w:ascii="黑体" w:hAnsi="黑体" w:eastAsia="黑体" w:cs="宋体"/>
          <w:sz w:val="30"/>
          <w:szCs w:val="30"/>
        </w:rPr>
        <w:t>比赛</w:t>
      </w:r>
      <w:r>
        <w:rPr>
          <w:rFonts w:ascii="黑体" w:hAnsi="黑体" w:eastAsia="黑体" w:cs="宋体"/>
          <w:sz w:val="30"/>
          <w:szCs w:val="30"/>
        </w:rPr>
        <w:t>内容</w:t>
      </w:r>
    </w:p>
    <w:p w14:paraId="556B9141">
      <w:pPr>
        <w:spacing w:line="500" w:lineRule="exact"/>
        <w:ind w:firstLine="480" w:firstLineChars="200"/>
        <w:rPr>
          <w:sz w:val="24"/>
        </w:rPr>
      </w:pPr>
      <w:r>
        <w:rPr>
          <w:rFonts w:hint="eastAsia"/>
          <w:sz w:val="24"/>
        </w:rPr>
        <w:t>比赛</w:t>
      </w:r>
      <w:r>
        <w:rPr>
          <w:sz w:val="24"/>
        </w:rPr>
        <w:t>内容包括钢铁智能生产模块</w:t>
      </w:r>
      <w:r>
        <w:rPr>
          <w:rFonts w:hint="eastAsia"/>
          <w:sz w:val="24"/>
          <w:lang w:eastAsia="zh-CN"/>
        </w:rPr>
        <w:t>（</w:t>
      </w:r>
      <w:r>
        <w:rPr>
          <w:rFonts w:hint="eastAsia"/>
          <w:sz w:val="24"/>
          <w:lang w:val="en-US" w:eastAsia="zh-CN"/>
        </w:rPr>
        <w:t>模块一</w:t>
      </w:r>
      <w:r>
        <w:rPr>
          <w:rFonts w:hint="eastAsia"/>
          <w:sz w:val="24"/>
          <w:lang w:eastAsia="zh-CN"/>
        </w:rPr>
        <w:t>）</w:t>
      </w:r>
      <w:r>
        <w:rPr>
          <w:sz w:val="24"/>
        </w:rPr>
        <w:t>、新材料知识与技能模块</w:t>
      </w:r>
      <w:r>
        <w:rPr>
          <w:rFonts w:hint="eastAsia"/>
          <w:sz w:val="24"/>
          <w:lang w:eastAsia="zh-CN"/>
        </w:rPr>
        <w:t>（</w:t>
      </w:r>
      <w:r>
        <w:rPr>
          <w:rFonts w:hint="eastAsia"/>
          <w:sz w:val="24"/>
          <w:lang w:val="en-US" w:eastAsia="zh-CN"/>
        </w:rPr>
        <w:t>模块二</w:t>
      </w:r>
      <w:r>
        <w:rPr>
          <w:rFonts w:hint="eastAsia"/>
          <w:sz w:val="24"/>
          <w:lang w:eastAsia="zh-CN"/>
        </w:rPr>
        <w:t>）</w:t>
      </w:r>
      <w:r>
        <w:rPr>
          <w:sz w:val="24"/>
        </w:rPr>
        <w:t>。</w:t>
      </w:r>
      <w:r>
        <w:rPr>
          <w:rFonts w:hint="eastAsia"/>
          <w:sz w:val="24"/>
        </w:rPr>
        <w:t>比赛</w:t>
      </w:r>
      <w:r>
        <w:rPr>
          <w:sz w:val="24"/>
        </w:rPr>
        <w:t>过程中参赛选手须分工及协作完成</w:t>
      </w:r>
      <w:r>
        <w:rPr>
          <w:rFonts w:hint="eastAsia"/>
          <w:sz w:val="24"/>
        </w:rPr>
        <w:t>两</w:t>
      </w:r>
      <w:r>
        <w:rPr>
          <w:sz w:val="24"/>
        </w:rPr>
        <w:t xml:space="preserve">个模块的操作。 </w:t>
      </w:r>
    </w:p>
    <w:p w14:paraId="1AB04FA8">
      <w:pPr>
        <w:spacing w:line="500" w:lineRule="exact"/>
        <w:ind w:firstLine="480" w:firstLineChars="200"/>
        <w:rPr>
          <w:sz w:val="24"/>
        </w:rPr>
      </w:pPr>
      <w:r>
        <w:rPr>
          <w:sz w:val="24"/>
        </w:rPr>
        <w:t>本次</w:t>
      </w:r>
      <w:r>
        <w:rPr>
          <w:rFonts w:hint="eastAsia"/>
          <w:sz w:val="24"/>
        </w:rPr>
        <w:t>比赛</w:t>
      </w:r>
      <w:r>
        <w:rPr>
          <w:sz w:val="24"/>
        </w:rPr>
        <w:t xml:space="preserve">时间为1天，模块一钢铁智能生产，完成氧气顶吹转炉两炉钢的冶炼仿真操作，时间为 90 分钟；模块二新材料知识与技能，完成理论机试考核，时间为 90 分钟。各参赛队选手按照竞赛日程安排参加相应竞赛项目的检录、参赛编号和赛位号抽取，并完成相关项目的竞赛操作。 </w:t>
      </w:r>
    </w:p>
    <w:p w14:paraId="5BA2AF14">
      <w:pPr>
        <w:spacing w:line="259" w:lineRule="auto"/>
        <w:ind w:left="255" w:right="4"/>
        <w:jc w:val="center"/>
        <w:rPr>
          <w:sz w:val="24"/>
        </w:rPr>
      </w:pPr>
    </w:p>
    <w:p w14:paraId="78ECA483">
      <w:pPr>
        <w:spacing w:line="259" w:lineRule="auto"/>
        <w:ind w:left="255" w:right="4"/>
        <w:jc w:val="center"/>
        <w:rPr>
          <w:sz w:val="24"/>
        </w:rPr>
      </w:pPr>
      <w:r>
        <w:rPr>
          <w:sz w:val="24"/>
        </w:rPr>
        <w:t xml:space="preserve">表1 </w:t>
      </w:r>
      <w:r>
        <w:rPr>
          <w:rFonts w:hint="eastAsia"/>
          <w:sz w:val="24"/>
        </w:rPr>
        <w:t>比赛</w:t>
      </w:r>
      <w:r>
        <w:rPr>
          <w:sz w:val="24"/>
        </w:rPr>
        <w:t xml:space="preserve">项目分值占比 </w:t>
      </w:r>
    </w:p>
    <w:tbl>
      <w:tblPr>
        <w:tblStyle w:val="4"/>
        <w:tblW w:w="8890" w:type="dxa"/>
        <w:tblInd w:w="-106" w:type="dxa"/>
        <w:tblLayout w:type="autofit"/>
        <w:tblCellMar>
          <w:top w:w="0" w:type="dxa"/>
          <w:left w:w="110" w:type="dxa"/>
          <w:bottom w:w="8" w:type="dxa"/>
          <w:right w:w="50" w:type="dxa"/>
        </w:tblCellMar>
      </w:tblPr>
      <w:tblGrid>
        <w:gridCol w:w="952"/>
        <w:gridCol w:w="2268"/>
        <w:gridCol w:w="2462"/>
        <w:gridCol w:w="1171"/>
        <w:gridCol w:w="910"/>
        <w:gridCol w:w="1127"/>
      </w:tblGrid>
      <w:tr w14:paraId="17584A60">
        <w:tblPrEx>
          <w:tblCellMar>
            <w:top w:w="0" w:type="dxa"/>
            <w:left w:w="110" w:type="dxa"/>
            <w:bottom w:w="8" w:type="dxa"/>
            <w:right w:w="50" w:type="dxa"/>
          </w:tblCellMar>
        </w:tblPrEx>
        <w:trPr>
          <w:trHeight w:val="188" w:hRule="atLeast"/>
        </w:trPr>
        <w:tc>
          <w:tcPr>
            <w:tcW w:w="3220" w:type="dxa"/>
            <w:gridSpan w:val="2"/>
            <w:tcBorders>
              <w:top w:val="single" w:color="000000" w:sz="4" w:space="0"/>
              <w:left w:val="single" w:color="000000" w:sz="4" w:space="0"/>
              <w:right w:val="single" w:color="000000" w:sz="4" w:space="0"/>
            </w:tcBorders>
            <w:shd w:val="clear" w:color="auto" w:fill="auto"/>
            <w:vAlign w:val="center"/>
          </w:tcPr>
          <w:p w14:paraId="2970368B">
            <w:pPr>
              <w:spacing w:line="259" w:lineRule="auto"/>
              <w:ind w:right="61"/>
              <w:jc w:val="center"/>
            </w:pPr>
            <w:r>
              <w:rPr>
                <w:sz w:val="24"/>
              </w:rPr>
              <w:t>模块</w:t>
            </w:r>
            <w:r>
              <w:rPr>
                <w:rFonts w:eastAsia="Times New Roman"/>
                <w:sz w:val="24"/>
              </w:rPr>
              <w:t xml:space="preserve"> </w:t>
            </w:r>
          </w:p>
        </w:tc>
        <w:tc>
          <w:tcPr>
            <w:tcW w:w="2462" w:type="dxa"/>
            <w:tcBorders>
              <w:top w:val="single" w:color="000000" w:sz="4" w:space="0"/>
              <w:left w:val="single" w:color="000000" w:sz="4" w:space="0"/>
              <w:right w:val="single" w:color="000000" w:sz="4" w:space="0"/>
            </w:tcBorders>
            <w:shd w:val="clear" w:color="auto" w:fill="auto"/>
            <w:vAlign w:val="center"/>
          </w:tcPr>
          <w:p w14:paraId="50E93D33">
            <w:pPr>
              <w:spacing w:line="259" w:lineRule="auto"/>
              <w:ind w:right="58"/>
              <w:jc w:val="center"/>
            </w:pPr>
            <w:r>
              <w:rPr>
                <w:sz w:val="24"/>
              </w:rPr>
              <w:t>主要内容</w:t>
            </w:r>
            <w:r>
              <w:rPr>
                <w:rFonts w:eastAsia="Times New Roman"/>
                <w:sz w:val="24"/>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AB0A">
            <w:pPr>
              <w:spacing w:line="259" w:lineRule="auto"/>
              <w:jc w:val="center"/>
            </w:pPr>
            <w:r>
              <w:rPr>
                <w:sz w:val="24"/>
              </w:rPr>
              <w:t>比赛时长</w:t>
            </w:r>
            <w:r>
              <w:rPr>
                <w:rFonts w:eastAsia="Times New Roman"/>
                <w:sz w:val="24"/>
              </w:rPr>
              <w:t xml:space="preserve"> </w:t>
            </w:r>
          </w:p>
        </w:tc>
        <w:tc>
          <w:tcPr>
            <w:tcW w:w="910" w:type="dxa"/>
            <w:tcBorders>
              <w:top w:val="single" w:color="000000" w:sz="4" w:space="0"/>
              <w:left w:val="single" w:color="000000" w:sz="4" w:space="0"/>
              <w:right w:val="single" w:color="000000" w:sz="4" w:space="0"/>
            </w:tcBorders>
            <w:shd w:val="clear" w:color="auto" w:fill="auto"/>
            <w:vAlign w:val="center"/>
          </w:tcPr>
          <w:p w14:paraId="38F76C7C">
            <w:pPr>
              <w:spacing w:line="259" w:lineRule="auto"/>
              <w:ind w:left="106"/>
            </w:pPr>
            <w:r>
              <w:rPr>
                <w:sz w:val="24"/>
              </w:rPr>
              <w:t>分值</w:t>
            </w:r>
            <w:r>
              <w:rPr>
                <w:rFonts w:eastAsia="Times New Roman"/>
                <w:sz w:val="24"/>
              </w:rPr>
              <w:t xml:space="preserve"> </w:t>
            </w:r>
          </w:p>
        </w:tc>
        <w:tc>
          <w:tcPr>
            <w:tcW w:w="1127" w:type="dxa"/>
            <w:tcBorders>
              <w:top w:val="single" w:color="000000" w:sz="4" w:space="0"/>
              <w:left w:val="single" w:color="000000" w:sz="4" w:space="0"/>
              <w:right w:val="single" w:color="000000" w:sz="4" w:space="0"/>
            </w:tcBorders>
            <w:shd w:val="clear" w:color="auto" w:fill="auto"/>
          </w:tcPr>
          <w:p w14:paraId="0709A053">
            <w:pPr>
              <w:spacing w:line="259" w:lineRule="auto"/>
              <w:jc w:val="center"/>
            </w:pPr>
            <w:r>
              <w:rPr>
                <w:sz w:val="24"/>
              </w:rPr>
              <w:t>分值占比</w:t>
            </w:r>
            <w:r>
              <w:rPr>
                <w:rFonts w:eastAsia="Times New Roman"/>
                <w:sz w:val="24"/>
              </w:rPr>
              <w:t xml:space="preserve"> </w:t>
            </w:r>
          </w:p>
        </w:tc>
      </w:tr>
      <w:tr w14:paraId="7E0F33B0">
        <w:tblPrEx>
          <w:tblCellMar>
            <w:top w:w="0" w:type="dxa"/>
            <w:left w:w="110" w:type="dxa"/>
            <w:bottom w:w="8" w:type="dxa"/>
            <w:right w:w="50" w:type="dxa"/>
          </w:tblCellMar>
        </w:tblPrEx>
        <w:trPr>
          <w:trHeight w:val="740" w:hRule="atLeast"/>
        </w:trPr>
        <w:tc>
          <w:tcPr>
            <w:tcW w:w="952" w:type="dxa"/>
            <w:vMerge w:val="restart"/>
            <w:tcBorders>
              <w:top w:val="single" w:color="000000" w:sz="4" w:space="0"/>
              <w:left w:val="single" w:color="000000" w:sz="4" w:space="0"/>
              <w:right w:val="single" w:color="000000" w:sz="4" w:space="0"/>
            </w:tcBorders>
            <w:shd w:val="clear" w:color="auto" w:fill="auto"/>
            <w:vAlign w:val="center"/>
          </w:tcPr>
          <w:p w14:paraId="3129FD86">
            <w:pPr>
              <w:spacing w:line="259" w:lineRule="auto"/>
              <w:ind w:right="61"/>
            </w:pPr>
            <w:r>
              <w:rPr>
                <w:sz w:val="24"/>
              </w:rPr>
              <w:t>模块一</w:t>
            </w:r>
          </w:p>
        </w:tc>
        <w:tc>
          <w:tcPr>
            <w:tcW w:w="2268" w:type="dxa"/>
            <w:vMerge w:val="restart"/>
            <w:tcBorders>
              <w:top w:val="single" w:color="000000" w:sz="4" w:space="0"/>
              <w:left w:val="single" w:color="000000" w:sz="4" w:space="0"/>
              <w:right w:val="single" w:color="000000" w:sz="4" w:space="0"/>
            </w:tcBorders>
            <w:shd w:val="clear" w:color="auto" w:fill="auto"/>
            <w:vAlign w:val="center"/>
          </w:tcPr>
          <w:p w14:paraId="32EFBD72">
            <w:pPr>
              <w:spacing w:line="259" w:lineRule="auto"/>
              <w:ind w:right="61" w:firstLine="240" w:firstLineChars="100"/>
            </w:pPr>
            <w:r>
              <w:rPr>
                <w:sz w:val="24"/>
              </w:rPr>
              <w:t>钢铁智能生产</w:t>
            </w:r>
            <w:r>
              <w:rPr>
                <w:rFonts w:eastAsia="Times New Roman"/>
                <w:sz w:val="24"/>
              </w:rPr>
              <w:t xml:space="preserve"> </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87FF">
            <w:pPr>
              <w:spacing w:line="259" w:lineRule="auto"/>
              <w:jc w:val="center"/>
            </w:pPr>
            <w:r>
              <w:rPr>
                <w:sz w:val="24"/>
              </w:rPr>
              <w:t>完成一炉正常炉次的仿真冶炼操作</w:t>
            </w:r>
            <w:r>
              <w:rPr>
                <w:rFonts w:eastAsia="Times New Roman"/>
                <w:sz w:val="24"/>
              </w:rPr>
              <w:t xml:space="preserve"> </w:t>
            </w:r>
          </w:p>
        </w:tc>
        <w:tc>
          <w:tcPr>
            <w:tcW w:w="1171" w:type="dxa"/>
            <w:vMerge w:val="restart"/>
            <w:tcBorders>
              <w:top w:val="single" w:color="000000" w:sz="4" w:space="0"/>
              <w:left w:val="single" w:color="000000" w:sz="4" w:space="0"/>
              <w:right w:val="single" w:color="000000" w:sz="4" w:space="0"/>
            </w:tcBorders>
            <w:shd w:val="clear" w:color="auto" w:fill="auto"/>
            <w:vAlign w:val="center"/>
          </w:tcPr>
          <w:p w14:paraId="63C50359">
            <w:pPr>
              <w:spacing w:line="259" w:lineRule="auto"/>
              <w:ind w:left="89"/>
            </w:pPr>
            <w:r>
              <w:rPr>
                <w:rFonts w:eastAsia="Times New Roman"/>
                <w:sz w:val="24"/>
              </w:rPr>
              <w:t xml:space="preserve">90 </w:t>
            </w:r>
            <w:r>
              <w:rPr>
                <w:sz w:val="24"/>
              </w:rPr>
              <w:t>分钟</w:t>
            </w:r>
            <w:r>
              <w:rPr>
                <w:rFonts w:eastAsia="Times New Roman"/>
                <w:sz w:val="24"/>
              </w:rPr>
              <w:t xml:space="preserve">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52A3">
            <w:pPr>
              <w:spacing w:line="259" w:lineRule="auto"/>
              <w:ind w:left="17"/>
            </w:pPr>
            <w:r>
              <w:rPr>
                <w:rFonts w:eastAsia="Times New Roman"/>
                <w:sz w:val="24"/>
              </w:rPr>
              <w:t xml:space="preserve">100 </w:t>
            </w:r>
            <w:r>
              <w:rPr>
                <w:sz w:val="24"/>
              </w:rPr>
              <w:t>分</w:t>
            </w:r>
            <w:r>
              <w:rPr>
                <w:rFonts w:eastAsia="Times New Roman"/>
                <w:sz w:val="24"/>
              </w:rPr>
              <w:t xml:space="preserve">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00DE">
            <w:pPr>
              <w:spacing w:line="259" w:lineRule="auto"/>
              <w:ind w:left="108"/>
            </w:pPr>
            <w:r>
              <w:rPr>
                <w:rFonts w:hint="eastAsia" w:eastAsia="等线"/>
                <w:sz w:val="24"/>
              </w:rPr>
              <w:t>3</w:t>
            </w:r>
            <w:r>
              <w:rPr>
                <w:rFonts w:eastAsia="Times New Roman"/>
                <w:sz w:val="24"/>
              </w:rPr>
              <w:t xml:space="preserve">0% </w:t>
            </w:r>
          </w:p>
        </w:tc>
      </w:tr>
      <w:tr w14:paraId="61D0ACCD">
        <w:tblPrEx>
          <w:tblCellMar>
            <w:top w:w="0" w:type="dxa"/>
            <w:left w:w="110" w:type="dxa"/>
            <w:bottom w:w="8" w:type="dxa"/>
            <w:right w:w="50" w:type="dxa"/>
          </w:tblCellMar>
        </w:tblPrEx>
        <w:trPr>
          <w:trHeight w:val="684" w:hRule="atLeast"/>
        </w:trPr>
        <w:tc>
          <w:tcPr>
            <w:tcW w:w="952" w:type="dxa"/>
            <w:vMerge w:val="continue"/>
            <w:tcBorders>
              <w:left w:val="single" w:color="000000" w:sz="4" w:space="0"/>
              <w:bottom w:val="single" w:color="000000" w:sz="4" w:space="0"/>
              <w:right w:val="single" w:color="000000" w:sz="4" w:space="0"/>
            </w:tcBorders>
            <w:shd w:val="clear" w:color="auto" w:fill="auto"/>
          </w:tcPr>
          <w:p w14:paraId="283EEE7C">
            <w:pPr>
              <w:spacing w:after="160" w:line="259" w:lineRule="auto"/>
            </w:pPr>
          </w:p>
        </w:tc>
        <w:tc>
          <w:tcPr>
            <w:tcW w:w="2268" w:type="dxa"/>
            <w:vMerge w:val="continue"/>
            <w:tcBorders>
              <w:left w:val="single" w:color="000000" w:sz="4" w:space="0"/>
              <w:bottom w:val="single" w:color="000000" w:sz="4" w:space="0"/>
              <w:right w:val="single" w:color="000000" w:sz="4" w:space="0"/>
            </w:tcBorders>
            <w:shd w:val="clear" w:color="auto" w:fill="auto"/>
          </w:tcPr>
          <w:p w14:paraId="114FD527">
            <w:pPr>
              <w:spacing w:after="160" w:line="259" w:lineRule="auto"/>
            </w:pPr>
          </w:p>
        </w:tc>
        <w:tc>
          <w:tcPr>
            <w:tcW w:w="2462" w:type="dxa"/>
            <w:tcBorders>
              <w:top w:val="nil"/>
              <w:left w:val="single" w:color="000000" w:sz="4" w:space="0"/>
              <w:bottom w:val="single" w:color="000000" w:sz="4" w:space="0"/>
              <w:right w:val="single" w:color="000000" w:sz="4" w:space="0"/>
            </w:tcBorders>
            <w:shd w:val="clear" w:color="auto" w:fill="auto"/>
          </w:tcPr>
          <w:p w14:paraId="3EB1054C">
            <w:pPr>
              <w:spacing w:line="259" w:lineRule="auto"/>
              <w:jc w:val="center"/>
            </w:pPr>
            <w:r>
              <w:rPr>
                <w:sz w:val="24"/>
              </w:rPr>
              <w:t>完成一炉异常炉次的仿真冶炼操作</w:t>
            </w:r>
            <w:r>
              <w:rPr>
                <w:rFonts w:eastAsia="Times New Roman"/>
                <w:sz w:val="24"/>
              </w:rPr>
              <w:t xml:space="preserve"> </w:t>
            </w:r>
          </w:p>
        </w:tc>
        <w:tc>
          <w:tcPr>
            <w:tcW w:w="1171" w:type="dxa"/>
            <w:vMerge w:val="continue"/>
            <w:tcBorders>
              <w:left w:val="single" w:color="000000" w:sz="4" w:space="0"/>
              <w:bottom w:val="single" w:color="000000" w:sz="4" w:space="0"/>
              <w:right w:val="single" w:color="000000" w:sz="4" w:space="0"/>
            </w:tcBorders>
            <w:shd w:val="clear" w:color="auto" w:fill="auto"/>
          </w:tcPr>
          <w:p w14:paraId="2824FD11">
            <w:pPr>
              <w:spacing w:after="160" w:line="259" w:lineRule="auto"/>
            </w:pPr>
          </w:p>
        </w:tc>
        <w:tc>
          <w:tcPr>
            <w:tcW w:w="910" w:type="dxa"/>
            <w:tcBorders>
              <w:top w:val="nil"/>
              <w:left w:val="single" w:color="000000" w:sz="4" w:space="0"/>
              <w:bottom w:val="single" w:color="000000" w:sz="4" w:space="0"/>
              <w:right w:val="single" w:color="000000" w:sz="4" w:space="0"/>
            </w:tcBorders>
            <w:shd w:val="clear" w:color="auto" w:fill="auto"/>
          </w:tcPr>
          <w:p w14:paraId="2E0D4174">
            <w:pPr>
              <w:spacing w:line="259" w:lineRule="auto"/>
              <w:ind w:left="17"/>
            </w:pPr>
            <w:r>
              <w:rPr>
                <w:rFonts w:eastAsia="Times New Roman"/>
                <w:sz w:val="24"/>
              </w:rPr>
              <w:t xml:space="preserve">100 </w:t>
            </w:r>
            <w:r>
              <w:rPr>
                <w:sz w:val="24"/>
              </w:rPr>
              <w:t>分</w:t>
            </w:r>
            <w:r>
              <w:rPr>
                <w:rFonts w:eastAsia="Times New Roman"/>
                <w:sz w:val="24"/>
              </w:rPr>
              <w:t xml:space="preserve"> </w:t>
            </w:r>
          </w:p>
        </w:tc>
        <w:tc>
          <w:tcPr>
            <w:tcW w:w="1127" w:type="dxa"/>
            <w:tcBorders>
              <w:top w:val="nil"/>
              <w:left w:val="single" w:color="000000" w:sz="4" w:space="0"/>
              <w:bottom w:val="single" w:color="000000" w:sz="4" w:space="0"/>
              <w:right w:val="single" w:color="000000" w:sz="4" w:space="0"/>
            </w:tcBorders>
            <w:shd w:val="clear" w:color="auto" w:fill="auto"/>
            <w:vAlign w:val="center"/>
          </w:tcPr>
          <w:p w14:paraId="4D94D588">
            <w:pPr>
              <w:spacing w:line="259" w:lineRule="auto"/>
              <w:ind w:left="108"/>
            </w:pPr>
            <w:r>
              <w:rPr>
                <w:rFonts w:hint="eastAsia" w:eastAsia="等线"/>
                <w:sz w:val="24"/>
              </w:rPr>
              <w:t>30</w:t>
            </w:r>
            <w:r>
              <w:rPr>
                <w:rFonts w:eastAsia="Times New Roman"/>
                <w:sz w:val="24"/>
              </w:rPr>
              <w:t xml:space="preserve">% </w:t>
            </w:r>
          </w:p>
        </w:tc>
      </w:tr>
      <w:tr w14:paraId="434CB794">
        <w:tblPrEx>
          <w:tblCellMar>
            <w:top w:w="0" w:type="dxa"/>
            <w:left w:w="110" w:type="dxa"/>
            <w:bottom w:w="8" w:type="dxa"/>
            <w:right w:w="50" w:type="dxa"/>
          </w:tblCellMar>
        </w:tblPrEx>
        <w:trPr>
          <w:trHeight w:val="661"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31FB">
            <w:pPr>
              <w:spacing w:line="259" w:lineRule="auto"/>
            </w:pPr>
            <w:r>
              <w:rPr>
                <w:sz w:val="24"/>
              </w:rPr>
              <w:t>模块二</w:t>
            </w:r>
            <w:r>
              <w:rPr>
                <w:rFonts w:eastAsia="Times New Roman"/>
                <w:sz w:val="24"/>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272D">
            <w:pPr>
              <w:spacing w:line="259" w:lineRule="auto"/>
              <w:ind w:left="146"/>
            </w:pPr>
            <w:r>
              <w:rPr>
                <w:sz w:val="24"/>
              </w:rPr>
              <w:t>新材料知识与技能</w:t>
            </w:r>
            <w:r>
              <w:rPr>
                <w:rFonts w:eastAsia="Times New Roman"/>
                <w:sz w:val="24"/>
              </w:rPr>
              <w:t xml:space="preserve"> </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BDA4">
            <w:pPr>
              <w:spacing w:line="259" w:lineRule="auto"/>
              <w:ind w:right="60"/>
              <w:jc w:val="center"/>
            </w:pPr>
            <w:r>
              <w:rPr>
                <w:sz w:val="24"/>
              </w:rPr>
              <w:t>上机随机组卷</w:t>
            </w:r>
            <w:r>
              <w:rPr>
                <w:rFonts w:eastAsia="Times New Roman"/>
                <w:sz w:val="24"/>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23AE">
            <w:pPr>
              <w:spacing w:line="259" w:lineRule="auto"/>
              <w:ind w:left="89"/>
            </w:pPr>
            <w:r>
              <w:rPr>
                <w:rFonts w:eastAsia="Times New Roman"/>
                <w:sz w:val="24"/>
              </w:rPr>
              <w:t xml:space="preserve">90 </w:t>
            </w:r>
            <w:r>
              <w:rPr>
                <w:sz w:val="24"/>
              </w:rPr>
              <w:t>分钟</w:t>
            </w:r>
            <w:r>
              <w:rPr>
                <w:rFonts w:eastAsia="Times New Roman"/>
                <w:sz w:val="24"/>
              </w:rPr>
              <w:t xml:space="preserve">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A1A7">
            <w:pPr>
              <w:spacing w:line="259" w:lineRule="auto"/>
              <w:ind w:left="17"/>
            </w:pPr>
            <w:r>
              <w:rPr>
                <w:rFonts w:eastAsia="Times New Roman"/>
                <w:sz w:val="24"/>
              </w:rPr>
              <w:t xml:space="preserve">100 </w:t>
            </w:r>
            <w:r>
              <w:rPr>
                <w:sz w:val="24"/>
              </w:rPr>
              <w:t>分</w:t>
            </w:r>
            <w:r>
              <w:rPr>
                <w:rFonts w:eastAsia="Times New Roman"/>
                <w:sz w:val="24"/>
              </w:rPr>
              <w:t xml:space="preserve">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5C88">
            <w:pPr>
              <w:spacing w:line="259" w:lineRule="auto"/>
              <w:ind w:left="108"/>
            </w:pPr>
            <w:r>
              <w:rPr>
                <w:rFonts w:hint="eastAsia" w:eastAsia="等线"/>
                <w:sz w:val="24"/>
              </w:rPr>
              <w:t>40</w:t>
            </w:r>
            <w:r>
              <w:rPr>
                <w:rFonts w:eastAsia="Times New Roman"/>
                <w:sz w:val="24"/>
              </w:rPr>
              <w:t xml:space="preserve">% </w:t>
            </w:r>
          </w:p>
        </w:tc>
      </w:tr>
      <w:tr w14:paraId="375271D3">
        <w:tblPrEx>
          <w:tblCellMar>
            <w:top w:w="0" w:type="dxa"/>
            <w:left w:w="110" w:type="dxa"/>
            <w:bottom w:w="8" w:type="dxa"/>
            <w:right w:w="50" w:type="dxa"/>
          </w:tblCellMar>
        </w:tblPrEx>
        <w:trPr>
          <w:trHeight w:val="483" w:hRule="atLeast"/>
        </w:trPr>
        <w:tc>
          <w:tcPr>
            <w:tcW w:w="5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B915D">
            <w:pPr>
              <w:spacing w:line="259" w:lineRule="auto"/>
              <w:ind w:right="60"/>
              <w:jc w:val="center"/>
            </w:pPr>
            <w:r>
              <w:rPr>
                <w:sz w:val="24"/>
              </w:rPr>
              <w:t>合计</w:t>
            </w:r>
            <w:r>
              <w:rPr>
                <w:rFonts w:eastAsia="Times New Roman"/>
                <w:sz w:val="24"/>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8C81">
            <w:pPr>
              <w:spacing w:line="259" w:lineRule="auto"/>
              <w:ind w:left="29"/>
            </w:pPr>
            <w:r>
              <w:rPr>
                <w:rFonts w:hint="eastAsia" w:eastAsia="等线"/>
                <w:sz w:val="24"/>
              </w:rPr>
              <w:t>180</w:t>
            </w:r>
            <w:r>
              <w:rPr>
                <w:rFonts w:eastAsia="Times New Roman"/>
                <w:sz w:val="24"/>
              </w:rPr>
              <w:t xml:space="preserve"> </w:t>
            </w:r>
            <w:r>
              <w:rPr>
                <w:sz w:val="24"/>
              </w:rPr>
              <w:t>分钟</w:t>
            </w:r>
            <w:r>
              <w:rPr>
                <w:rFonts w:eastAsia="Times New Roman"/>
                <w:sz w:val="24"/>
              </w:rPr>
              <w:t xml:space="preserve">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041C">
            <w:pPr>
              <w:spacing w:line="259" w:lineRule="auto"/>
              <w:ind w:left="17"/>
            </w:pPr>
            <w:r>
              <w:rPr>
                <w:rFonts w:eastAsia="Times New Roman"/>
                <w:sz w:val="24"/>
              </w:rPr>
              <w:t xml:space="preserve">100 </w:t>
            </w:r>
            <w:r>
              <w:rPr>
                <w:sz w:val="24"/>
              </w:rPr>
              <w:t>分</w:t>
            </w:r>
            <w:r>
              <w:rPr>
                <w:rFonts w:eastAsia="Times New Roman"/>
                <w:sz w:val="24"/>
              </w:rPr>
              <w:t xml:space="preserve">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7871">
            <w:pPr>
              <w:spacing w:line="259" w:lineRule="auto"/>
              <w:ind w:left="50"/>
            </w:pPr>
            <w:r>
              <w:rPr>
                <w:rFonts w:eastAsia="Times New Roman"/>
                <w:sz w:val="24"/>
              </w:rPr>
              <w:t xml:space="preserve">100% </w:t>
            </w:r>
          </w:p>
        </w:tc>
      </w:tr>
    </w:tbl>
    <w:p w14:paraId="70E57F58">
      <w:pPr>
        <w:spacing w:line="360" w:lineRule="auto"/>
        <w:ind w:right="1232"/>
        <w:rPr>
          <w:rFonts w:ascii="黑体" w:hAnsi="黑体" w:eastAsia="黑体" w:cs="宋体"/>
          <w:sz w:val="30"/>
          <w:szCs w:val="30"/>
        </w:rPr>
      </w:pPr>
      <w:r>
        <w:rPr>
          <w:rFonts w:ascii="黑体" w:hAnsi="黑体" w:eastAsia="黑体" w:cs="宋体"/>
          <w:sz w:val="30"/>
          <w:szCs w:val="30"/>
        </w:rPr>
        <w:t>四、</w:t>
      </w:r>
      <w:r>
        <w:rPr>
          <w:rFonts w:hint="eastAsia" w:ascii="黑体" w:hAnsi="黑体" w:eastAsia="黑体" w:cs="宋体"/>
          <w:sz w:val="30"/>
          <w:szCs w:val="30"/>
        </w:rPr>
        <w:t>比赛</w:t>
      </w:r>
      <w:r>
        <w:rPr>
          <w:rFonts w:ascii="黑体" w:hAnsi="黑体" w:eastAsia="黑体" w:cs="宋体"/>
          <w:sz w:val="30"/>
          <w:szCs w:val="30"/>
        </w:rPr>
        <w:t>方式</w:t>
      </w:r>
    </w:p>
    <w:p w14:paraId="2F534F0D">
      <w:pPr>
        <w:spacing w:line="500" w:lineRule="exact"/>
        <w:ind w:firstLine="480" w:firstLineChars="200"/>
        <w:rPr>
          <w:sz w:val="24"/>
        </w:rPr>
      </w:pPr>
      <w:r>
        <w:rPr>
          <w:sz w:val="24"/>
        </w:rPr>
        <w:t>本赛项为团体赛</w:t>
      </w:r>
      <w:r>
        <w:rPr>
          <w:rFonts w:hint="eastAsia"/>
          <w:sz w:val="24"/>
          <w:lang w:eastAsia="zh-CN"/>
        </w:rPr>
        <w:t>，</w:t>
      </w:r>
      <w:r>
        <w:rPr>
          <w:rFonts w:hint="eastAsia"/>
          <w:sz w:val="24"/>
        </w:rPr>
        <w:t>每所学校</w:t>
      </w:r>
      <w:r>
        <w:rPr>
          <w:rFonts w:hint="eastAsia"/>
          <w:sz w:val="24"/>
          <w:lang w:val="en-US" w:eastAsia="zh-CN"/>
        </w:rPr>
        <w:t>最多报2支参赛</w:t>
      </w:r>
      <w:r>
        <w:rPr>
          <w:rFonts w:hint="eastAsia"/>
          <w:sz w:val="24"/>
        </w:rPr>
        <w:t>队伍</w:t>
      </w:r>
      <w:r>
        <w:rPr>
          <w:rFonts w:hint="eastAsia"/>
          <w:sz w:val="24"/>
          <w:lang w:eastAsia="zh-CN"/>
        </w:rPr>
        <w:t>。</w:t>
      </w:r>
      <w:r>
        <w:rPr>
          <w:sz w:val="24"/>
        </w:rPr>
        <w:t>每支参赛队由 3 名学生组成，其中包括队长 1 名，性别不限。参赛选手</w:t>
      </w:r>
      <w:r>
        <w:rPr>
          <w:rFonts w:hint="eastAsia"/>
          <w:sz w:val="24"/>
          <w:lang w:val="en-US" w:eastAsia="zh-CN"/>
        </w:rPr>
        <w:t>应为唐山市中等职业学校(含技工类学校）</w:t>
      </w:r>
      <w:r>
        <w:rPr>
          <w:rFonts w:hint="eastAsia"/>
          <w:sz w:val="24"/>
        </w:rPr>
        <w:t>202</w:t>
      </w:r>
      <w:r>
        <w:rPr>
          <w:rFonts w:hint="eastAsia"/>
          <w:sz w:val="24"/>
          <w:lang w:val="en-US" w:eastAsia="zh-CN"/>
        </w:rPr>
        <w:t>5</w:t>
      </w:r>
      <w:r>
        <w:rPr>
          <w:rFonts w:hint="eastAsia"/>
          <w:sz w:val="24"/>
        </w:rPr>
        <w:t>年全日制在籍学生</w:t>
      </w:r>
      <w:r>
        <w:rPr>
          <w:rFonts w:hint="eastAsia"/>
          <w:sz w:val="24"/>
          <w:lang w:val="en-US" w:eastAsia="zh-CN"/>
        </w:rPr>
        <w:t>，“3+2”“3+4”等贯通培养项目仅限中专段在籍生报名参加，</w:t>
      </w:r>
      <w:r>
        <w:rPr>
          <w:rFonts w:hint="eastAsia"/>
          <w:sz w:val="24"/>
        </w:rPr>
        <w:t>且年龄不超过21周岁，年龄计算的截止时间以 202</w:t>
      </w:r>
      <w:r>
        <w:rPr>
          <w:rFonts w:hint="eastAsia"/>
          <w:sz w:val="24"/>
          <w:lang w:val="en-US" w:eastAsia="zh-CN"/>
        </w:rPr>
        <w:t>5</w:t>
      </w:r>
      <w:r>
        <w:rPr>
          <w:rFonts w:hint="eastAsia"/>
          <w:sz w:val="24"/>
        </w:rPr>
        <w:t>年</w:t>
      </w:r>
      <w:r>
        <w:rPr>
          <w:rFonts w:hint="eastAsia"/>
          <w:sz w:val="24"/>
          <w:lang w:val="en-US" w:eastAsia="zh-CN"/>
        </w:rPr>
        <w:t>7</w:t>
      </w:r>
      <w:r>
        <w:rPr>
          <w:rFonts w:hint="eastAsia"/>
          <w:sz w:val="24"/>
        </w:rPr>
        <w:t>月</w:t>
      </w:r>
      <w:r>
        <w:rPr>
          <w:rFonts w:hint="eastAsia"/>
          <w:sz w:val="24"/>
          <w:lang w:val="en-US" w:eastAsia="zh-CN"/>
        </w:rPr>
        <w:t>2</w:t>
      </w:r>
      <w:r>
        <w:rPr>
          <w:rFonts w:hint="eastAsia"/>
          <w:sz w:val="24"/>
        </w:rPr>
        <w:t>日为准。每支参赛队可配备指导教师1～2 名</w:t>
      </w:r>
      <w:r>
        <w:rPr>
          <w:rFonts w:hint="eastAsia"/>
          <w:sz w:val="24"/>
          <w:lang w:eastAsia="zh-CN"/>
        </w:rPr>
        <w:t>。</w:t>
      </w:r>
      <w:r>
        <w:rPr>
          <w:rFonts w:hint="eastAsia"/>
          <w:sz w:val="24"/>
        </w:rPr>
        <w:t>如有变化，按202</w:t>
      </w:r>
      <w:r>
        <w:rPr>
          <w:rFonts w:hint="eastAsia"/>
          <w:sz w:val="24"/>
          <w:lang w:val="en-US" w:eastAsia="zh-CN"/>
        </w:rPr>
        <w:t>5</w:t>
      </w:r>
      <w:r>
        <w:rPr>
          <w:rFonts w:hint="eastAsia"/>
          <w:sz w:val="24"/>
        </w:rPr>
        <w:t>年</w:t>
      </w:r>
      <w:r>
        <w:rPr>
          <w:rFonts w:hint="eastAsia"/>
          <w:sz w:val="24"/>
          <w:lang w:val="en-US" w:eastAsia="zh-CN"/>
        </w:rPr>
        <w:t>唐山市中等</w:t>
      </w:r>
      <w:r>
        <w:rPr>
          <w:rFonts w:hint="eastAsia"/>
          <w:sz w:val="24"/>
        </w:rPr>
        <w:t>职业</w:t>
      </w:r>
      <w:r>
        <w:rPr>
          <w:rFonts w:hint="eastAsia"/>
          <w:sz w:val="24"/>
          <w:lang w:val="en-US" w:eastAsia="zh-CN"/>
        </w:rPr>
        <w:t>学校</w:t>
      </w:r>
      <w:r>
        <w:rPr>
          <w:rFonts w:hint="eastAsia"/>
          <w:sz w:val="24"/>
        </w:rPr>
        <w:t>技能</w:t>
      </w:r>
      <w:r>
        <w:rPr>
          <w:rFonts w:hint="eastAsia"/>
          <w:sz w:val="24"/>
          <w:lang w:val="en-US" w:eastAsia="zh-CN"/>
        </w:rPr>
        <w:t>竞赛</w:t>
      </w:r>
      <w:r>
        <w:rPr>
          <w:rFonts w:hint="eastAsia"/>
          <w:sz w:val="24"/>
        </w:rPr>
        <w:t>通知执行。</w:t>
      </w:r>
      <w:r>
        <w:rPr>
          <w:sz w:val="24"/>
        </w:rPr>
        <w:t xml:space="preserve"> </w:t>
      </w:r>
    </w:p>
    <w:p w14:paraId="58CB5B0E">
      <w:pPr>
        <w:numPr>
          <w:ilvl w:val="0"/>
          <w:numId w:val="1"/>
        </w:numPr>
        <w:spacing w:line="360" w:lineRule="auto"/>
        <w:ind w:right="1232"/>
        <w:rPr>
          <w:rFonts w:hint="default" w:ascii="黑体" w:hAnsi="黑体" w:eastAsia="黑体" w:cs="宋体"/>
          <w:sz w:val="30"/>
          <w:szCs w:val="30"/>
          <w:lang w:val="en-US"/>
        </w:rPr>
      </w:pPr>
      <w:r>
        <w:rPr>
          <w:rFonts w:hint="eastAsia" w:ascii="黑体" w:hAnsi="黑体" w:eastAsia="黑体" w:cs="宋体"/>
          <w:sz w:val="30"/>
          <w:szCs w:val="30"/>
          <w:lang w:val="en-US" w:eastAsia="zh-CN"/>
        </w:rPr>
        <w:t>竞赛流程</w:t>
      </w:r>
    </w:p>
    <w:p w14:paraId="13CAF6A9">
      <w:pPr>
        <w:numPr>
          <w:ilvl w:val="0"/>
          <w:numId w:val="0"/>
        </w:numPr>
        <w:spacing w:line="360" w:lineRule="auto"/>
        <w:ind w:right="1232" w:rightChars="0"/>
        <w:rPr>
          <w:rFonts w:ascii="黑体" w:hAnsi="黑体" w:eastAsia="黑体" w:cs="宋体"/>
          <w:sz w:val="30"/>
          <w:szCs w:val="30"/>
        </w:rPr>
      </w:pPr>
      <w:r>
        <w:rPr>
          <w:rFonts w:hint="eastAsia" w:ascii="黑体" w:hAnsi="黑体" w:eastAsia="黑体" w:cs="宋体"/>
          <w:sz w:val="30"/>
          <w:szCs w:val="30"/>
          <w:lang w:eastAsia="zh-CN"/>
        </w:rPr>
        <w:t>（</w:t>
      </w:r>
      <w:r>
        <w:rPr>
          <w:rFonts w:hint="eastAsia" w:ascii="黑体" w:hAnsi="黑体" w:eastAsia="黑体" w:cs="宋体"/>
          <w:sz w:val="30"/>
          <w:szCs w:val="30"/>
          <w:lang w:val="en-US" w:eastAsia="zh-CN"/>
        </w:rPr>
        <w:t>一</w:t>
      </w:r>
      <w:r>
        <w:rPr>
          <w:rFonts w:hint="eastAsia" w:ascii="黑体" w:hAnsi="黑体" w:eastAsia="黑体" w:cs="宋体"/>
          <w:sz w:val="30"/>
          <w:szCs w:val="30"/>
          <w:lang w:eastAsia="zh-CN"/>
        </w:rPr>
        <w:t>）</w:t>
      </w:r>
      <w:r>
        <w:rPr>
          <w:rFonts w:hint="eastAsia" w:ascii="黑体" w:hAnsi="黑体" w:eastAsia="黑体" w:cs="宋体"/>
          <w:sz w:val="30"/>
          <w:szCs w:val="30"/>
          <w:lang w:val="en-US" w:eastAsia="zh-CN"/>
        </w:rPr>
        <w:t>竞赛操作流程图</w:t>
      </w:r>
    </w:p>
    <w:p w14:paraId="702CB0ED">
      <w:pPr>
        <w:spacing w:line="360" w:lineRule="auto"/>
        <w:jc w:val="center"/>
      </w:pPr>
      <w:r>
        <w:drawing>
          <wp:inline distT="0" distB="0" distL="0" distR="0">
            <wp:extent cx="3530600" cy="3498850"/>
            <wp:effectExtent l="0" t="0" r="12700" b="6350"/>
            <wp:docPr id="18115526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52662"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t="3573"/>
                    <a:stretch>
                      <a:fillRect/>
                    </a:stretch>
                  </pic:blipFill>
                  <pic:spPr>
                    <a:xfrm>
                      <a:off x="0" y="0"/>
                      <a:ext cx="3580749" cy="3498850"/>
                    </a:xfrm>
                    <a:prstGeom prst="rect">
                      <a:avLst/>
                    </a:prstGeom>
                    <a:noFill/>
                    <a:ln>
                      <a:noFill/>
                    </a:ln>
                  </pic:spPr>
                </pic:pic>
              </a:graphicData>
            </a:graphic>
          </wp:inline>
        </w:drawing>
      </w:r>
    </w:p>
    <w:p w14:paraId="7D8C6469">
      <w:pPr>
        <w:spacing w:after="205" w:line="259" w:lineRule="auto"/>
        <w:ind w:left="10" w:right="3156"/>
        <w:jc w:val="right"/>
      </w:pPr>
      <w:r>
        <w:rPr>
          <w:rFonts w:eastAsia="黑体"/>
          <w:sz w:val="28"/>
        </w:rPr>
        <w:t xml:space="preserve">图1 竞赛流程图 </w:t>
      </w:r>
    </w:p>
    <w:p w14:paraId="0F1EE576">
      <w:pPr>
        <w:numPr>
          <w:ilvl w:val="0"/>
          <w:numId w:val="2"/>
        </w:numPr>
        <w:spacing w:line="360" w:lineRule="auto"/>
        <w:ind w:firstLine="602" w:firstLineChars="200"/>
        <w:rPr>
          <w:b/>
          <w:bCs/>
          <w:sz w:val="30"/>
          <w:szCs w:val="30"/>
        </w:rPr>
      </w:pPr>
      <w:r>
        <w:rPr>
          <w:rFonts w:hint="eastAsia"/>
          <w:b/>
          <w:bCs/>
          <w:sz w:val="30"/>
          <w:szCs w:val="30"/>
          <w:lang w:val="en-US" w:eastAsia="zh-CN"/>
        </w:rPr>
        <w:t>竞赛</w:t>
      </w:r>
      <w:r>
        <w:rPr>
          <w:b/>
          <w:bCs/>
          <w:sz w:val="30"/>
          <w:szCs w:val="30"/>
        </w:rPr>
        <w:t xml:space="preserve">日程 </w:t>
      </w:r>
    </w:p>
    <w:p w14:paraId="4CC1ACA6">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sz w:val="24"/>
          <w:szCs w:val="24"/>
        </w:rPr>
        <w:t>竞赛日程安排见表2。</w:t>
      </w:r>
    </w:p>
    <w:p w14:paraId="2F5587E1">
      <w:pPr>
        <w:spacing w:line="259" w:lineRule="auto"/>
        <w:ind w:left="10" w:right="3156"/>
        <w:jc w:val="right"/>
        <w:rPr>
          <w:sz w:val="24"/>
        </w:rPr>
      </w:pPr>
      <w:r>
        <w:rPr>
          <w:sz w:val="24"/>
        </w:rPr>
        <w:t xml:space="preserve">表2 </w:t>
      </w:r>
      <w:r>
        <w:rPr>
          <w:rFonts w:hint="eastAsia"/>
          <w:sz w:val="24"/>
          <w:lang w:val="en-US" w:eastAsia="zh-CN"/>
        </w:rPr>
        <w:t>竞赛</w:t>
      </w:r>
      <w:r>
        <w:rPr>
          <w:sz w:val="24"/>
        </w:rPr>
        <w:t xml:space="preserve">日程安排表 </w:t>
      </w:r>
    </w:p>
    <w:tbl>
      <w:tblPr>
        <w:tblStyle w:val="8"/>
        <w:tblW w:w="8236" w:type="dxa"/>
        <w:tblInd w:w="36" w:type="dxa"/>
        <w:tblLayout w:type="autofit"/>
        <w:tblCellMar>
          <w:top w:w="51" w:type="dxa"/>
          <w:left w:w="108" w:type="dxa"/>
          <w:bottom w:w="0" w:type="dxa"/>
          <w:right w:w="62" w:type="dxa"/>
        </w:tblCellMar>
      </w:tblPr>
      <w:tblGrid>
        <w:gridCol w:w="1263"/>
        <w:gridCol w:w="1940"/>
        <w:gridCol w:w="3627"/>
        <w:gridCol w:w="1406"/>
      </w:tblGrid>
      <w:tr w14:paraId="735F60EF">
        <w:tblPrEx>
          <w:tblCellMar>
            <w:top w:w="51" w:type="dxa"/>
            <w:left w:w="108" w:type="dxa"/>
            <w:bottom w:w="0" w:type="dxa"/>
            <w:right w:w="62" w:type="dxa"/>
          </w:tblCellMar>
        </w:tblPrEx>
        <w:trPr>
          <w:trHeight w:val="689" w:hRule="atLeast"/>
        </w:trPr>
        <w:tc>
          <w:tcPr>
            <w:tcW w:w="1263" w:type="dxa"/>
            <w:tcBorders>
              <w:top w:val="single" w:color="000000" w:sz="4" w:space="0"/>
              <w:left w:val="single" w:color="000000" w:sz="4" w:space="0"/>
              <w:bottom w:val="single" w:color="000000" w:sz="4" w:space="0"/>
              <w:right w:val="single" w:color="000000" w:sz="4" w:space="0"/>
            </w:tcBorders>
            <w:vAlign w:val="center"/>
          </w:tcPr>
          <w:p w14:paraId="5BEDDAAE">
            <w:pPr>
              <w:spacing w:after="0" w:line="259" w:lineRule="auto"/>
              <w:ind w:left="132" w:firstLine="0"/>
            </w:pPr>
            <w:r>
              <w:rPr>
                <w:sz w:val="24"/>
              </w:rPr>
              <w:t>日期</w:t>
            </w:r>
            <w:r>
              <w:rPr>
                <w:rFonts w:ascii="Times New Roman" w:hAnsi="Times New Roman" w:eastAsia="Times New Roman" w:cs="Times New Roman"/>
                <w:b/>
                <w:sz w:val="24"/>
              </w:rPr>
              <w:t xml:space="preserve"> </w:t>
            </w:r>
          </w:p>
        </w:tc>
        <w:tc>
          <w:tcPr>
            <w:tcW w:w="1940" w:type="dxa"/>
            <w:tcBorders>
              <w:top w:val="single" w:color="000000" w:sz="4" w:space="0"/>
              <w:left w:val="single" w:color="000000" w:sz="4" w:space="0"/>
              <w:bottom w:val="single" w:color="000000" w:sz="4" w:space="0"/>
              <w:right w:val="single" w:color="000000" w:sz="4" w:space="0"/>
            </w:tcBorders>
            <w:vAlign w:val="center"/>
          </w:tcPr>
          <w:p w14:paraId="4EEB318F">
            <w:pPr>
              <w:spacing w:after="0" w:line="259" w:lineRule="auto"/>
              <w:ind w:left="0" w:right="43" w:firstLine="0"/>
              <w:jc w:val="center"/>
            </w:pPr>
            <w:r>
              <w:rPr>
                <w:sz w:val="24"/>
              </w:rPr>
              <w:t>时间</w:t>
            </w:r>
            <w:r>
              <w:rPr>
                <w:rFonts w:ascii="Times New Roman" w:hAnsi="Times New Roman" w:eastAsia="Times New Roman" w:cs="Times New Roman"/>
                <w:b/>
                <w:sz w:val="24"/>
              </w:rPr>
              <w:t xml:space="preserve"> </w:t>
            </w:r>
          </w:p>
        </w:tc>
        <w:tc>
          <w:tcPr>
            <w:tcW w:w="3627" w:type="dxa"/>
            <w:tcBorders>
              <w:top w:val="single" w:color="000000" w:sz="4" w:space="0"/>
              <w:left w:val="single" w:color="000000" w:sz="4" w:space="0"/>
              <w:bottom w:val="single" w:color="000000" w:sz="4" w:space="0"/>
              <w:right w:val="single" w:color="000000" w:sz="4" w:space="0"/>
            </w:tcBorders>
            <w:vAlign w:val="center"/>
          </w:tcPr>
          <w:p w14:paraId="2FD90774">
            <w:pPr>
              <w:spacing w:after="0" w:line="259" w:lineRule="auto"/>
              <w:ind w:left="0" w:right="46" w:firstLine="0"/>
              <w:jc w:val="center"/>
            </w:pPr>
            <w:r>
              <w:rPr>
                <w:sz w:val="24"/>
              </w:rPr>
              <w:t>内容</w:t>
            </w:r>
            <w:r>
              <w:rPr>
                <w:rFonts w:ascii="Times New Roman" w:hAnsi="Times New Roman" w:eastAsia="Times New Roman" w:cs="Times New Roman"/>
                <w:b/>
                <w:sz w:val="24"/>
              </w:rPr>
              <w:t xml:space="preserve"> </w:t>
            </w:r>
          </w:p>
        </w:tc>
        <w:tc>
          <w:tcPr>
            <w:tcW w:w="1406" w:type="dxa"/>
            <w:tcBorders>
              <w:top w:val="single" w:color="000000" w:sz="4" w:space="0"/>
              <w:left w:val="single" w:color="000000" w:sz="4" w:space="0"/>
              <w:bottom w:val="single" w:color="000000" w:sz="4" w:space="0"/>
              <w:right w:val="single" w:color="000000" w:sz="4" w:space="0"/>
            </w:tcBorders>
            <w:vAlign w:val="center"/>
          </w:tcPr>
          <w:p w14:paraId="33FFB213">
            <w:pPr>
              <w:spacing w:after="0" w:line="259" w:lineRule="auto"/>
              <w:ind w:left="0" w:right="46" w:firstLine="0"/>
              <w:jc w:val="center"/>
            </w:pPr>
            <w:r>
              <w:rPr>
                <w:sz w:val="24"/>
              </w:rPr>
              <w:t>地点</w:t>
            </w:r>
            <w:r>
              <w:rPr>
                <w:rFonts w:ascii="Times New Roman" w:hAnsi="Times New Roman" w:eastAsia="Times New Roman" w:cs="Times New Roman"/>
                <w:b/>
                <w:sz w:val="24"/>
              </w:rPr>
              <w:t xml:space="preserve"> </w:t>
            </w:r>
          </w:p>
        </w:tc>
      </w:tr>
      <w:tr w14:paraId="58DB9C11">
        <w:tblPrEx>
          <w:tblCellMar>
            <w:top w:w="51" w:type="dxa"/>
            <w:left w:w="108" w:type="dxa"/>
            <w:bottom w:w="0" w:type="dxa"/>
            <w:right w:w="62" w:type="dxa"/>
          </w:tblCellMar>
        </w:tblPrEx>
        <w:trPr>
          <w:trHeight w:val="532" w:hRule="atLeast"/>
        </w:trPr>
        <w:tc>
          <w:tcPr>
            <w:tcW w:w="1263" w:type="dxa"/>
            <w:vMerge w:val="restart"/>
            <w:tcBorders>
              <w:top w:val="single" w:color="000000" w:sz="4" w:space="0"/>
              <w:left w:val="single" w:color="000000" w:sz="4" w:space="0"/>
              <w:right w:val="single" w:color="000000" w:sz="4" w:space="0"/>
            </w:tcBorders>
            <w:vAlign w:val="center"/>
          </w:tcPr>
          <w:p w14:paraId="2D16AF74">
            <w:pPr>
              <w:spacing w:after="0" w:line="259" w:lineRule="auto"/>
              <w:ind w:left="12" w:firstLine="0"/>
              <w:jc w:val="center"/>
              <w:rPr>
                <w:rFonts w:hint="eastAsia"/>
                <w:sz w:val="24"/>
              </w:rPr>
            </w:pPr>
            <w:r>
              <w:rPr>
                <w:rFonts w:hint="eastAsia"/>
                <w:sz w:val="24"/>
              </w:rPr>
              <w:t>202</w:t>
            </w:r>
            <w:r>
              <w:rPr>
                <w:rFonts w:hint="eastAsia"/>
                <w:sz w:val="24"/>
                <w:lang w:val="en-US" w:eastAsia="zh-CN"/>
              </w:rPr>
              <w:t>5</w:t>
            </w:r>
            <w:r>
              <w:rPr>
                <w:rFonts w:hint="eastAsia"/>
                <w:sz w:val="24"/>
              </w:rPr>
              <w:t>.</w:t>
            </w:r>
            <w:r>
              <w:rPr>
                <w:rFonts w:hint="eastAsia"/>
                <w:sz w:val="24"/>
                <w:lang w:val="en-US" w:eastAsia="zh-CN"/>
              </w:rPr>
              <w:t>7</w:t>
            </w:r>
            <w:r>
              <w:rPr>
                <w:rFonts w:hint="eastAsia"/>
                <w:sz w:val="24"/>
              </w:rPr>
              <w:t>.3</w:t>
            </w:r>
          </w:p>
          <w:p w14:paraId="155D5B20">
            <w:pPr>
              <w:spacing w:after="0" w:line="259" w:lineRule="auto"/>
              <w:ind w:left="12" w:firstLine="0"/>
              <w:jc w:val="center"/>
              <w:rPr>
                <w:rFonts w:hint="eastAsia"/>
              </w:rPr>
            </w:pPr>
          </w:p>
        </w:tc>
        <w:tc>
          <w:tcPr>
            <w:tcW w:w="1940" w:type="dxa"/>
            <w:tcBorders>
              <w:top w:val="single" w:color="000000" w:sz="4" w:space="0"/>
              <w:left w:val="single" w:color="000000" w:sz="4" w:space="0"/>
              <w:bottom w:val="single" w:color="000000" w:sz="4" w:space="0"/>
              <w:right w:val="single" w:color="000000" w:sz="4" w:space="0"/>
            </w:tcBorders>
            <w:vAlign w:val="center"/>
          </w:tcPr>
          <w:p w14:paraId="5A55CE14">
            <w:pPr>
              <w:spacing w:after="0" w:line="259" w:lineRule="auto"/>
              <w:ind w:left="0" w:firstLine="0"/>
              <w:jc w:val="center"/>
            </w:pPr>
            <w:r>
              <w:rPr>
                <w:rFonts w:hint="eastAsia" w:ascii="Times New Roman" w:hAnsi="Times New Roman" w:eastAsia="宋体" w:cs="Times New Roman"/>
                <w:sz w:val="24"/>
                <w:lang w:val="en-US" w:eastAsia="zh-CN"/>
              </w:rPr>
              <w:t>8</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30</w:t>
            </w:r>
            <w:r>
              <w:rPr>
                <w:sz w:val="24"/>
              </w:rPr>
              <w:t>～</w:t>
            </w:r>
            <w:r>
              <w:rPr>
                <w:rFonts w:hint="eastAsia"/>
                <w:sz w:val="24"/>
                <w:lang w:val="en-US" w:eastAsia="zh-CN"/>
              </w:rPr>
              <w:t>9</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00</w:t>
            </w:r>
          </w:p>
        </w:tc>
        <w:tc>
          <w:tcPr>
            <w:tcW w:w="3627" w:type="dxa"/>
            <w:tcBorders>
              <w:top w:val="single" w:color="000000" w:sz="4" w:space="0"/>
              <w:left w:val="single" w:color="000000" w:sz="4" w:space="0"/>
              <w:bottom w:val="single" w:color="000000" w:sz="4" w:space="0"/>
              <w:right w:val="single" w:color="000000" w:sz="4" w:space="0"/>
            </w:tcBorders>
            <w:vAlign w:val="center"/>
          </w:tcPr>
          <w:p w14:paraId="28CFC669">
            <w:pPr>
              <w:spacing w:after="0" w:line="259" w:lineRule="auto"/>
              <w:ind w:left="120" w:firstLine="0"/>
              <w:jc w:val="center"/>
            </w:pPr>
            <w:r>
              <w:rPr>
                <w:sz w:val="24"/>
              </w:rPr>
              <w:t>参赛队报到</w:t>
            </w:r>
          </w:p>
        </w:tc>
        <w:tc>
          <w:tcPr>
            <w:tcW w:w="1406" w:type="dxa"/>
            <w:tcBorders>
              <w:top w:val="single" w:color="000000" w:sz="4" w:space="0"/>
              <w:left w:val="single" w:color="000000" w:sz="4" w:space="0"/>
              <w:bottom w:val="single" w:color="000000" w:sz="4" w:space="0"/>
              <w:right w:val="single" w:color="000000" w:sz="4" w:space="0"/>
            </w:tcBorders>
            <w:vAlign w:val="center"/>
          </w:tcPr>
          <w:p w14:paraId="45FB6843">
            <w:pPr>
              <w:spacing w:after="0" w:line="259" w:lineRule="auto"/>
              <w:ind w:left="26" w:firstLine="0"/>
              <w:jc w:val="center"/>
            </w:pPr>
            <w:r>
              <w:rPr>
                <w:sz w:val="24"/>
              </w:rPr>
              <w:t>承办校确定</w:t>
            </w:r>
          </w:p>
        </w:tc>
      </w:tr>
      <w:tr w14:paraId="371AC6A3">
        <w:tblPrEx>
          <w:tblCellMar>
            <w:top w:w="51" w:type="dxa"/>
            <w:left w:w="108" w:type="dxa"/>
            <w:bottom w:w="0" w:type="dxa"/>
            <w:right w:w="62" w:type="dxa"/>
          </w:tblCellMar>
        </w:tblPrEx>
        <w:trPr>
          <w:trHeight w:val="482" w:hRule="atLeast"/>
        </w:trPr>
        <w:tc>
          <w:tcPr>
            <w:tcW w:w="1263" w:type="dxa"/>
            <w:vMerge w:val="continue"/>
            <w:tcBorders>
              <w:left w:val="single" w:color="000000" w:sz="4" w:space="0"/>
              <w:right w:val="single" w:color="000000" w:sz="4" w:space="0"/>
            </w:tcBorders>
          </w:tcPr>
          <w:p w14:paraId="7BFF2E2F">
            <w:pPr>
              <w:spacing w:after="160" w:line="259" w:lineRule="auto"/>
              <w:ind w:left="0" w:firstLine="0"/>
              <w:jc w:val="center"/>
            </w:pPr>
          </w:p>
        </w:tc>
        <w:tc>
          <w:tcPr>
            <w:tcW w:w="1940" w:type="dxa"/>
            <w:tcBorders>
              <w:top w:val="single" w:color="000000" w:sz="4" w:space="0"/>
              <w:left w:val="single" w:color="000000" w:sz="4" w:space="0"/>
              <w:bottom w:val="single" w:color="000000" w:sz="4" w:space="0"/>
              <w:right w:val="single" w:color="000000" w:sz="4" w:space="0"/>
            </w:tcBorders>
            <w:vAlign w:val="center"/>
          </w:tcPr>
          <w:p w14:paraId="079BC481">
            <w:pPr>
              <w:spacing w:after="0" w:line="259" w:lineRule="auto"/>
              <w:ind w:left="0" w:firstLine="0"/>
              <w:jc w:val="center"/>
              <w:rPr>
                <w:rFonts w:hint="default" w:eastAsia="宋体"/>
                <w:lang w:val="en-US" w:eastAsia="zh-CN"/>
              </w:rPr>
            </w:pPr>
            <w:r>
              <w:rPr>
                <w:rFonts w:hint="eastAsia" w:ascii="Times New Roman" w:hAnsi="Times New Roman" w:eastAsia="宋体" w:cs="Times New Roman"/>
                <w:sz w:val="24"/>
                <w:lang w:val="en-US" w:eastAsia="zh-CN"/>
              </w:rPr>
              <w:t>9</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05</w:t>
            </w:r>
            <w:r>
              <w:rPr>
                <w:sz w:val="24"/>
              </w:rPr>
              <w:t>～</w:t>
            </w:r>
            <w:r>
              <w:rPr>
                <w:rFonts w:hint="eastAsia"/>
                <w:sz w:val="24"/>
                <w:lang w:val="en-US" w:eastAsia="zh-CN"/>
              </w:rPr>
              <w:t>9</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25</w:t>
            </w:r>
          </w:p>
        </w:tc>
        <w:tc>
          <w:tcPr>
            <w:tcW w:w="3627" w:type="dxa"/>
            <w:tcBorders>
              <w:top w:val="single" w:color="000000" w:sz="4" w:space="0"/>
              <w:left w:val="single" w:color="000000" w:sz="4" w:space="0"/>
              <w:bottom w:val="single" w:color="000000" w:sz="4" w:space="0"/>
              <w:right w:val="single" w:color="000000" w:sz="4" w:space="0"/>
            </w:tcBorders>
            <w:vAlign w:val="center"/>
          </w:tcPr>
          <w:p w14:paraId="7DCE2D0D">
            <w:pPr>
              <w:spacing w:after="0" w:line="259" w:lineRule="auto"/>
              <w:ind w:left="120" w:firstLine="0"/>
              <w:jc w:val="center"/>
            </w:pPr>
            <w:r>
              <w:rPr>
                <w:sz w:val="24"/>
              </w:rPr>
              <w:t>选手熟悉赛场</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14:paraId="69A341A8">
            <w:pPr>
              <w:spacing w:after="0" w:line="259" w:lineRule="auto"/>
              <w:ind w:left="26" w:firstLine="0"/>
              <w:jc w:val="center"/>
            </w:pPr>
            <w:r>
              <w:rPr>
                <w:sz w:val="24"/>
              </w:rPr>
              <w:t>承办校确定</w:t>
            </w:r>
          </w:p>
        </w:tc>
      </w:tr>
      <w:tr w14:paraId="2B48B30B">
        <w:tblPrEx>
          <w:tblCellMar>
            <w:top w:w="51" w:type="dxa"/>
            <w:left w:w="108" w:type="dxa"/>
            <w:bottom w:w="0" w:type="dxa"/>
            <w:right w:w="62" w:type="dxa"/>
          </w:tblCellMar>
        </w:tblPrEx>
        <w:trPr>
          <w:trHeight w:val="575" w:hRule="atLeast"/>
        </w:trPr>
        <w:tc>
          <w:tcPr>
            <w:tcW w:w="1263" w:type="dxa"/>
            <w:vMerge w:val="continue"/>
            <w:tcBorders>
              <w:left w:val="single" w:color="000000" w:sz="4" w:space="0"/>
              <w:right w:val="single" w:color="000000" w:sz="4" w:space="0"/>
            </w:tcBorders>
          </w:tcPr>
          <w:p w14:paraId="194337AE">
            <w:pPr>
              <w:spacing w:after="160" w:line="259" w:lineRule="auto"/>
              <w:ind w:left="0" w:firstLine="0"/>
              <w:jc w:val="center"/>
            </w:pPr>
          </w:p>
        </w:tc>
        <w:tc>
          <w:tcPr>
            <w:tcW w:w="1940" w:type="dxa"/>
            <w:tcBorders>
              <w:top w:val="single" w:color="000000" w:sz="4" w:space="0"/>
              <w:left w:val="single" w:color="000000" w:sz="4" w:space="0"/>
              <w:bottom w:val="single" w:color="000000" w:sz="4" w:space="0"/>
              <w:right w:val="single" w:color="000000" w:sz="4" w:space="0"/>
            </w:tcBorders>
            <w:vAlign w:val="center"/>
          </w:tcPr>
          <w:p w14:paraId="42BBC73B">
            <w:pPr>
              <w:spacing w:after="0" w:line="259" w:lineRule="auto"/>
              <w:ind w:left="0" w:firstLine="0"/>
              <w:jc w:val="center"/>
              <w:rPr>
                <w:rFonts w:hint="default"/>
                <w:lang w:val="en-US"/>
              </w:rPr>
            </w:pPr>
            <w:r>
              <w:rPr>
                <w:rFonts w:hint="eastAsia" w:ascii="Times New Roman" w:hAnsi="Times New Roman" w:eastAsia="宋体" w:cs="Times New Roman"/>
                <w:sz w:val="24"/>
                <w:lang w:val="en-US" w:eastAsia="zh-CN"/>
              </w:rPr>
              <w:t>9</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25</w:t>
            </w:r>
            <w:r>
              <w:rPr>
                <w:sz w:val="24"/>
              </w:rPr>
              <w:t>～</w:t>
            </w:r>
            <w:r>
              <w:rPr>
                <w:rFonts w:hint="eastAsia" w:ascii="Times New Roman" w:hAnsi="Times New Roman" w:eastAsia="宋体" w:cs="Times New Roman"/>
                <w:sz w:val="24"/>
                <w:lang w:val="en-US" w:eastAsia="zh-CN"/>
              </w:rPr>
              <w:t>9</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45</w:t>
            </w:r>
          </w:p>
        </w:tc>
        <w:tc>
          <w:tcPr>
            <w:tcW w:w="3627" w:type="dxa"/>
            <w:tcBorders>
              <w:top w:val="single" w:color="000000" w:sz="4" w:space="0"/>
              <w:left w:val="single" w:color="000000" w:sz="4" w:space="0"/>
              <w:bottom w:val="single" w:color="000000" w:sz="4" w:space="0"/>
              <w:right w:val="single" w:color="000000" w:sz="4" w:space="0"/>
            </w:tcBorders>
            <w:vAlign w:val="center"/>
          </w:tcPr>
          <w:p w14:paraId="38D7050A">
            <w:pPr>
              <w:spacing w:after="0" w:line="259" w:lineRule="auto"/>
              <w:ind w:left="120" w:firstLine="0"/>
              <w:jc w:val="center"/>
            </w:pPr>
            <w:r>
              <w:rPr>
                <w:sz w:val="24"/>
              </w:rPr>
              <w:t>召开领队会及赛前说明会</w:t>
            </w:r>
          </w:p>
        </w:tc>
        <w:tc>
          <w:tcPr>
            <w:tcW w:w="0" w:type="auto"/>
            <w:vMerge w:val="continue"/>
            <w:tcBorders>
              <w:top w:val="nil"/>
              <w:left w:val="single" w:color="000000" w:sz="4" w:space="0"/>
              <w:bottom w:val="nil"/>
              <w:right w:val="single" w:color="000000" w:sz="4" w:space="0"/>
            </w:tcBorders>
          </w:tcPr>
          <w:p w14:paraId="2BE92BF9">
            <w:pPr>
              <w:spacing w:after="160" w:line="259" w:lineRule="auto"/>
              <w:ind w:left="0" w:firstLine="0"/>
              <w:jc w:val="center"/>
            </w:pPr>
          </w:p>
        </w:tc>
      </w:tr>
      <w:tr w14:paraId="02968128">
        <w:tblPrEx>
          <w:tblCellMar>
            <w:top w:w="51" w:type="dxa"/>
            <w:left w:w="108" w:type="dxa"/>
            <w:bottom w:w="0" w:type="dxa"/>
            <w:right w:w="62" w:type="dxa"/>
          </w:tblCellMar>
        </w:tblPrEx>
        <w:trPr>
          <w:trHeight w:val="536" w:hRule="atLeast"/>
        </w:trPr>
        <w:tc>
          <w:tcPr>
            <w:tcW w:w="1263" w:type="dxa"/>
            <w:vMerge w:val="continue"/>
            <w:tcBorders>
              <w:left w:val="single" w:color="000000" w:sz="4" w:space="0"/>
              <w:right w:val="single" w:color="000000" w:sz="4" w:space="0"/>
            </w:tcBorders>
          </w:tcPr>
          <w:p w14:paraId="1F0980B1">
            <w:pPr>
              <w:spacing w:after="160" w:line="259" w:lineRule="auto"/>
              <w:ind w:left="0" w:firstLine="0"/>
              <w:jc w:val="center"/>
            </w:pPr>
          </w:p>
        </w:tc>
        <w:tc>
          <w:tcPr>
            <w:tcW w:w="1940" w:type="dxa"/>
            <w:tcBorders>
              <w:top w:val="single" w:color="000000" w:sz="4" w:space="0"/>
              <w:left w:val="single" w:color="000000" w:sz="4" w:space="0"/>
              <w:bottom w:val="single" w:color="000000" w:sz="4" w:space="0"/>
              <w:right w:val="single" w:color="000000" w:sz="4" w:space="0"/>
            </w:tcBorders>
            <w:vAlign w:val="center"/>
          </w:tcPr>
          <w:p w14:paraId="4A9ADC05">
            <w:pPr>
              <w:spacing w:after="0" w:line="259" w:lineRule="auto"/>
              <w:ind w:left="0" w:firstLine="0"/>
              <w:jc w:val="center"/>
              <w:rPr>
                <w:rFonts w:hint="default" w:eastAsia="宋体"/>
                <w:lang w:val="en-US" w:eastAsia="zh-CN"/>
              </w:rPr>
            </w:pPr>
            <w:r>
              <w:rPr>
                <w:rFonts w:hint="eastAsia" w:ascii="Times New Roman" w:hAnsi="Times New Roman" w:eastAsia="宋体" w:cs="Times New Roman"/>
                <w:sz w:val="24"/>
                <w:lang w:val="en-US" w:eastAsia="zh-CN"/>
              </w:rPr>
              <w:t>9</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45</w:t>
            </w:r>
            <w:r>
              <w:rPr>
                <w:sz w:val="24"/>
              </w:rPr>
              <w:t>～</w:t>
            </w:r>
            <w:r>
              <w:rPr>
                <w:rFonts w:ascii="Times New Roman" w:hAnsi="Times New Roman" w:eastAsia="Times New Roman" w:cs="Times New Roman"/>
                <w:sz w:val="24"/>
              </w:rPr>
              <w:t>1</w:t>
            </w:r>
            <w:r>
              <w:rPr>
                <w:rFonts w:hint="eastAsia" w:ascii="Times New Roman" w:hAnsi="Times New Roman" w:eastAsia="宋体" w:cs="Times New Roman"/>
                <w:sz w:val="24"/>
                <w:lang w:val="en-US" w:eastAsia="zh-CN"/>
              </w:rPr>
              <w:t>0</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00</w:t>
            </w:r>
          </w:p>
        </w:tc>
        <w:tc>
          <w:tcPr>
            <w:tcW w:w="3627" w:type="dxa"/>
            <w:tcBorders>
              <w:top w:val="single" w:color="000000" w:sz="4" w:space="0"/>
              <w:left w:val="single" w:color="000000" w:sz="4" w:space="0"/>
              <w:bottom w:val="single" w:color="000000" w:sz="4" w:space="0"/>
              <w:right w:val="single" w:color="000000" w:sz="4" w:space="0"/>
            </w:tcBorders>
            <w:vAlign w:val="center"/>
          </w:tcPr>
          <w:p w14:paraId="31F77DDD">
            <w:pPr>
              <w:spacing w:after="0" w:line="259" w:lineRule="auto"/>
              <w:ind w:left="120" w:firstLine="0"/>
              <w:jc w:val="center"/>
            </w:pPr>
            <w:r>
              <w:rPr>
                <w:sz w:val="24"/>
              </w:rPr>
              <w:t>抽取抽签顺序号</w:t>
            </w:r>
          </w:p>
        </w:tc>
        <w:tc>
          <w:tcPr>
            <w:tcW w:w="0" w:type="auto"/>
            <w:vMerge w:val="continue"/>
            <w:tcBorders>
              <w:top w:val="nil"/>
              <w:left w:val="single" w:color="000000" w:sz="4" w:space="0"/>
              <w:bottom w:val="single" w:color="000000" w:sz="4" w:space="0"/>
              <w:right w:val="single" w:color="000000" w:sz="4" w:space="0"/>
            </w:tcBorders>
          </w:tcPr>
          <w:p w14:paraId="7EA45D26">
            <w:pPr>
              <w:spacing w:after="160" w:line="259" w:lineRule="auto"/>
              <w:ind w:left="0" w:firstLine="0"/>
              <w:jc w:val="center"/>
            </w:pPr>
          </w:p>
        </w:tc>
      </w:tr>
      <w:tr w14:paraId="58308FFC">
        <w:tblPrEx>
          <w:tblCellMar>
            <w:top w:w="51" w:type="dxa"/>
            <w:left w:w="108" w:type="dxa"/>
            <w:bottom w:w="0" w:type="dxa"/>
            <w:right w:w="62" w:type="dxa"/>
          </w:tblCellMar>
        </w:tblPrEx>
        <w:trPr>
          <w:trHeight w:val="672" w:hRule="atLeast"/>
        </w:trPr>
        <w:tc>
          <w:tcPr>
            <w:tcW w:w="1263" w:type="dxa"/>
            <w:vMerge w:val="continue"/>
            <w:tcBorders>
              <w:left w:val="single" w:color="000000" w:sz="4" w:space="0"/>
              <w:right w:val="single" w:color="000000" w:sz="4" w:space="0"/>
            </w:tcBorders>
            <w:vAlign w:val="center"/>
          </w:tcPr>
          <w:p w14:paraId="62E582DE">
            <w:pPr>
              <w:spacing w:after="0" w:line="259" w:lineRule="auto"/>
              <w:ind w:left="12" w:firstLine="0"/>
              <w:jc w:val="center"/>
              <w:rPr>
                <w:rFonts w:hint="eastAsia"/>
              </w:rPr>
            </w:pPr>
          </w:p>
        </w:tc>
        <w:tc>
          <w:tcPr>
            <w:tcW w:w="1940" w:type="dxa"/>
            <w:tcBorders>
              <w:top w:val="single" w:color="000000" w:sz="4" w:space="0"/>
              <w:left w:val="single" w:color="auto" w:sz="4" w:space="0"/>
              <w:bottom w:val="single" w:color="000000" w:sz="4" w:space="0"/>
              <w:right w:val="single" w:color="000000" w:sz="4" w:space="0"/>
            </w:tcBorders>
            <w:vAlign w:val="center"/>
          </w:tcPr>
          <w:p w14:paraId="19DA665B">
            <w:pPr>
              <w:spacing w:after="0" w:line="259" w:lineRule="auto"/>
              <w:ind w:left="0" w:firstLine="0"/>
              <w:jc w:val="center"/>
              <w:rPr>
                <w:rFonts w:hint="eastAsia" w:eastAsiaTheme="minorEastAsia"/>
                <w:lang w:eastAsia="zh-CN"/>
              </w:rPr>
            </w:pPr>
            <w:r>
              <w:rPr>
                <w:rFonts w:hint="eastAsia" w:ascii="Times New Roman" w:hAnsi="Times New Roman" w:eastAsia="宋体" w:cs="Times New Roman"/>
                <w:sz w:val="24"/>
                <w:lang w:val="en-US" w:eastAsia="zh-CN"/>
              </w:rPr>
              <w:t>10</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0</w:t>
            </w:r>
            <w:r>
              <w:rPr>
                <w:rFonts w:hint="eastAsia" w:ascii="Times New Roman" w:hAnsi="Times New Roman" w:eastAsia="宋体" w:cs="Times New Roman"/>
                <w:sz w:val="24"/>
                <w:lang w:val="en-US" w:eastAsia="zh-CN"/>
              </w:rPr>
              <w:t>0</w:t>
            </w:r>
            <w:r>
              <w:rPr>
                <w:sz w:val="24"/>
              </w:rPr>
              <w:t>～</w:t>
            </w:r>
            <w:r>
              <w:rPr>
                <w:rFonts w:hint="eastAsia"/>
                <w:sz w:val="24"/>
                <w:lang w:val="en-US" w:eastAsia="zh-CN"/>
              </w:rPr>
              <w:t>10</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2</w:t>
            </w:r>
            <w:r>
              <w:rPr>
                <w:rFonts w:hint="eastAsia" w:ascii="Times New Roman" w:hAnsi="Times New Roman" w:eastAsia="宋体" w:cs="Times New Roman"/>
                <w:sz w:val="24"/>
                <w:lang w:val="en-US" w:eastAsia="zh-CN"/>
              </w:rPr>
              <w:t>0</w:t>
            </w:r>
          </w:p>
        </w:tc>
        <w:tc>
          <w:tcPr>
            <w:tcW w:w="3627" w:type="dxa"/>
            <w:tcBorders>
              <w:top w:val="single" w:color="000000" w:sz="4" w:space="0"/>
              <w:left w:val="single" w:color="000000" w:sz="4" w:space="0"/>
              <w:bottom w:val="single" w:color="000000" w:sz="4" w:space="0"/>
              <w:right w:val="single" w:color="000000" w:sz="4" w:space="0"/>
            </w:tcBorders>
            <w:vAlign w:val="center"/>
          </w:tcPr>
          <w:p w14:paraId="6A956428">
            <w:pPr>
              <w:spacing w:after="0" w:line="259" w:lineRule="auto"/>
              <w:ind w:left="120" w:firstLine="0"/>
              <w:jc w:val="center"/>
            </w:pPr>
            <w:r>
              <w:rPr>
                <w:sz w:val="24"/>
              </w:rPr>
              <w:t>模块</w:t>
            </w:r>
            <w:r>
              <w:rPr>
                <w:rFonts w:hint="eastAsia"/>
                <w:sz w:val="24"/>
                <w:lang w:val="en-US" w:eastAsia="zh-CN"/>
              </w:rPr>
              <w:t>二</w:t>
            </w:r>
            <w:r>
              <w:rPr>
                <w:sz w:val="24"/>
              </w:rPr>
              <w:t>检录、加密、凭抽签顺序号抽取赛位号</w:t>
            </w:r>
          </w:p>
        </w:tc>
        <w:tc>
          <w:tcPr>
            <w:tcW w:w="1406" w:type="dxa"/>
            <w:vMerge w:val="restart"/>
            <w:tcBorders>
              <w:top w:val="single" w:color="000000" w:sz="4" w:space="0"/>
              <w:left w:val="single" w:color="000000" w:sz="4" w:space="0"/>
              <w:bottom w:val="single" w:color="000000" w:sz="4" w:space="0"/>
              <w:right w:val="single" w:color="000000" w:sz="4" w:space="0"/>
            </w:tcBorders>
            <w:vAlign w:val="center"/>
          </w:tcPr>
          <w:p w14:paraId="00304E18">
            <w:pPr>
              <w:spacing w:after="0" w:line="259" w:lineRule="auto"/>
              <w:ind w:left="26" w:firstLine="0"/>
              <w:jc w:val="center"/>
            </w:pPr>
            <w:r>
              <w:rPr>
                <w:sz w:val="24"/>
              </w:rPr>
              <w:t>承办校确定</w:t>
            </w:r>
          </w:p>
        </w:tc>
      </w:tr>
      <w:tr w14:paraId="69A579F5">
        <w:tblPrEx>
          <w:tblCellMar>
            <w:top w:w="51" w:type="dxa"/>
            <w:left w:w="108" w:type="dxa"/>
            <w:bottom w:w="0" w:type="dxa"/>
            <w:right w:w="62" w:type="dxa"/>
          </w:tblCellMar>
        </w:tblPrEx>
        <w:trPr>
          <w:trHeight w:val="631" w:hRule="atLeast"/>
        </w:trPr>
        <w:tc>
          <w:tcPr>
            <w:tcW w:w="1263" w:type="dxa"/>
            <w:vMerge w:val="continue"/>
            <w:tcBorders>
              <w:left w:val="single" w:color="000000" w:sz="4" w:space="0"/>
              <w:right w:val="single" w:color="000000" w:sz="4" w:space="0"/>
            </w:tcBorders>
          </w:tcPr>
          <w:p w14:paraId="5A10A943">
            <w:pPr>
              <w:spacing w:after="160" w:line="259" w:lineRule="auto"/>
              <w:ind w:left="0" w:firstLine="0"/>
              <w:jc w:val="center"/>
            </w:pPr>
          </w:p>
        </w:tc>
        <w:tc>
          <w:tcPr>
            <w:tcW w:w="1940" w:type="dxa"/>
            <w:tcBorders>
              <w:top w:val="single" w:color="000000" w:sz="4" w:space="0"/>
              <w:left w:val="single" w:color="auto" w:sz="4" w:space="0"/>
              <w:bottom w:val="single" w:color="000000" w:sz="4" w:space="0"/>
              <w:right w:val="single" w:color="000000" w:sz="4" w:space="0"/>
            </w:tcBorders>
            <w:vAlign w:val="center"/>
          </w:tcPr>
          <w:p w14:paraId="4C3A5B16">
            <w:pPr>
              <w:spacing w:after="0" w:line="259" w:lineRule="auto"/>
              <w:ind w:left="0" w:firstLine="0"/>
              <w:jc w:val="center"/>
            </w:pPr>
            <w:r>
              <w:rPr>
                <w:rFonts w:hint="eastAsia" w:ascii="Times New Roman" w:hAnsi="Times New Roman" w:cs="Times New Roman" w:eastAsiaTheme="minorEastAsia"/>
                <w:sz w:val="24"/>
                <w:lang w:val="en-US" w:eastAsia="zh-CN"/>
              </w:rPr>
              <w:t>10</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20</w:t>
            </w:r>
            <w:r>
              <w:rPr>
                <w:sz w:val="24"/>
              </w:rPr>
              <w:t>～</w:t>
            </w:r>
            <w:r>
              <w:rPr>
                <w:rFonts w:ascii="Times New Roman" w:hAnsi="Times New Roman" w:eastAsia="Times New Roman" w:cs="Times New Roman"/>
                <w:sz w:val="24"/>
              </w:rPr>
              <w:t>1</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5</w:t>
            </w:r>
            <w:r>
              <w:rPr>
                <w:rFonts w:ascii="Times New Roman" w:hAnsi="Times New Roman" w:eastAsia="Times New Roman" w:cs="Times New Roman"/>
                <w:sz w:val="24"/>
              </w:rPr>
              <w:t>0</w:t>
            </w:r>
          </w:p>
        </w:tc>
        <w:tc>
          <w:tcPr>
            <w:tcW w:w="3627" w:type="dxa"/>
            <w:tcBorders>
              <w:top w:val="single" w:color="000000" w:sz="4" w:space="0"/>
              <w:left w:val="single" w:color="000000" w:sz="4" w:space="0"/>
              <w:bottom w:val="single" w:color="000000" w:sz="4" w:space="0"/>
              <w:right w:val="single" w:color="000000" w:sz="4" w:space="0"/>
            </w:tcBorders>
            <w:vAlign w:val="center"/>
          </w:tcPr>
          <w:p w14:paraId="75C53C79">
            <w:pPr>
              <w:spacing w:after="0" w:line="259" w:lineRule="auto"/>
              <w:ind w:left="113" w:firstLine="0"/>
              <w:jc w:val="center"/>
            </w:pPr>
            <w:r>
              <w:rPr>
                <w:sz w:val="24"/>
              </w:rPr>
              <w:t>模块</w:t>
            </w:r>
            <w:r>
              <w:rPr>
                <w:rFonts w:hint="eastAsia"/>
                <w:sz w:val="24"/>
                <w:lang w:val="en-US" w:eastAsia="zh-CN"/>
              </w:rPr>
              <w:t>二</w:t>
            </w:r>
            <w:r>
              <w:rPr>
                <w:sz w:val="24"/>
              </w:rPr>
              <w:t>比赛</w:t>
            </w:r>
          </w:p>
        </w:tc>
        <w:tc>
          <w:tcPr>
            <w:tcW w:w="0" w:type="auto"/>
            <w:vMerge w:val="continue"/>
            <w:tcBorders>
              <w:top w:val="nil"/>
              <w:left w:val="single" w:color="000000" w:sz="4" w:space="0"/>
              <w:bottom w:val="nil"/>
              <w:right w:val="single" w:color="000000" w:sz="4" w:space="0"/>
            </w:tcBorders>
          </w:tcPr>
          <w:p w14:paraId="2AADD3DC">
            <w:pPr>
              <w:spacing w:after="160" w:line="259" w:lineRule="auto"/>
              <w:ind w:left="0" w:firstLine="0"/>
              <w:jc w:val="center"/>
            </w:pPr>
          </w:p>
        </w:tc>
      </w:tr>
      <w:tr w14:paraId="4E2A2409">
        <w:tblPrEx>
          <w:tblCellMar>
            <w:top w:w="51" w:type="dxa"/>
            <w:left w:w="108" w:type="dxa"/>
            <w:bottom w:w="0" w:type="dxa"/>
            <w:right w:w="62" w:type="dxa"/>
          </w:tblCellMar>
        </w:tblPrEx>
        <w:trPr>
          <w:trHeight w:val="692" w:hRule="atLeast"/>
        </w:trPr>
        <w:tc>
          <w:tcPr>
            <w:tcW w:w="1263" w:type="dxa"/>
            <w:vMerge w:val="continue"/>
            <w:tcBorders>
              <w:left w:val="single" w:color="000000" w:sz="4" w:space="0"/>
              <w:right w:val="single" w:color="000000" w:sz="4" w:space="0"/>
            </w:tcBorders>
          </w:tcPr>
          <w:p w14:paraId="0C44A072">
            <w:pPr>
              <w:spacing w:after="160" w:line="259" w:lineRule="auto"/>
              <w:ind w:left="0" w:firstLine="0"/>
              <w:jc w:val="center"/>
            </w:pPr>
          </w:p>
        </w:tc>
        <w:tc>
          <w:tcPr>
            <w:tcW w:w="1940" w:type="dxa"/>
            <w:tcBorders>
              <w:top w:val="single" w:color="000000" w:sz="4" w:space="0"/>
              <w:left w:val="single" w:color="auto" w:sz="4" w:space="0"/>
              <w:bottom w:val="single" w:color="000000" w:sz="4" w:space="0"/>
              <w:right w:val="single" w:color="000000" w:sz="4" w:space="0"/>
            </w:tcBorders>
            <w:vAlign w:val="center"/>
          </w:tcPr>
          <w:p w14:paraId="3FCBF33B">
            <w:pPr>
              <w:spacing w:after="0" w:line="259" w:lineRule="auto"/>
              <w:ind w:left="0" w:firstLine="0"/>
              <w:jc w:val="center"/>
            </w:pPr>
            <w:r>
              <w:rPr>
                <w:rFonts w:ascii="Times New Roman" w:hAnsi="Times New Roman" w:eastAsia="Times New Roman" w:cs="Times New Roman"/>
                <w:sz w:val="24"/>
              </w:rPr>
              <w:t>1</w:t>
            </w:r>
            <w:r>
              <w:rPr>
                <w:rFonts w:hint="eastAsia" w:ascii="Times New Roman" w:hAnsi="Times New Roman" w:eastAsia="宋体" w:cs="Times New Roman"/>
                <w:sz w:val="24"/>
                <w:lang w:val="en-US" w:eastAsia="zh-CN"/>
              </w:rPr>
              <w:t>1</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50</w:t>
            </w:r>
            <w:r>
              <w:rPr>
                <w:sz w:val="24"/>
              </w:rPr>
              <w:t>～</w:t>
            </w:r>
            <w:r>
              <w:rPr>
                <w:rFonts w:hint="eastAsia" w:ascii="Times New Roman" w:hAnsi="Times New Roman" w:eastAsia="宋体" w:cs="Times New Roman"/>
                <w:sz w:val="24"/>
                <w:lang w:val="en-US" w:eastAsia="zh-CN"/>
              </w:rPr>
              <w:t>14</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3</w:t>
            </w:r>
            <w:r>
              <w:rPr>
                <w:rFonts w:ascii="Times New Roman" w:hAnsi="Times New Roman" w:eastAsia="Times New Roman" w:cs="Times New Roman"/>
                <w:sz w:val="24"/>
              </w:rPr>
              <w:t>0</w:t>
            </w:r>
          </w:p>
        </w:tc>
        <w:tc>
          <w:tcPr>
            <w:tcW w:w="3627" w:type="dxa"/>
            <w:tcBorders>
              <w:top w:val="single" w:color="000000" w:sz="4" w:space="0"/>
              <w:left w:val="single" w:color="000000" w:sz="4" w:space="0"/>
              <w:bottom w:val="single" w:color="000000" w:sz="4" w:space="0"/>
              <w:right w:val="single" w:color="000000" w:sz="4" w:space="0"/>
            </w:tcBorders>
            <w:vAlign w:val="center"/>
          </w:tcPr>
          <w:p w14:paraId="0E3EF2A8">
            <w:pPr>
              <w:spacing w:after="0" w:line="259" w:lineRule="auto"/>
              <w:ind w:left="120" w:firstLine="0"/>
              <w:jc w:val="center"/>
            </w:pPr>
            <w:r>
              <w:rPr>
                <w:rFonts w:hint="eastAsia"/>
                <w:sz w:val="24"/>
              </w:rPr>
              <w:t>模块</w:t>
            </w:r>
            <w:r>
              <w:rPr>
                <w:rFonts w:hint="eastAsia"/>
                <w:sz w:val="24"/>
                <w:lang w:val="en-US" w:eastAsia="zh-CN"/>
              </w:rPr>
              <w:t>二</w:t>
            </w:r>
            <w:r>
              <w:rPr>
                <w:rFonts w:hint="eastAsia"/>
                <w:sz w:val="24"/>
              </w:rPr>
              <w:t>评分及汇总整理</w:t>
            </w:r>
          </w:p>
        </w:tc>
        <w:tc>
          <w:tcPr>
            <w:tcW w:w="0" w:type="auto"/>
            <w:vMerge w:val="continue"/>
            <w:tcBorders>
              <w:top w:val="nil"/>
              <w:left w:val="single" w:color="000000" w:sz="4" w:space="0"/>
              <w:bottom w:val="nil"/>
              <w:right w:val="single" w:color="000000" w:sz="4" w:space="0"/>
            </w:tcBorders>
          </w:tcPr>
          <w:p w14:paraId="1FEFD0CE">
            <w:pPr>
              <w:spacing w:after="160" w:line="259" w:lineRule="auto"/>
              <w:ind w:left="0" w:firstLine="0"/>
              <w:jc w:val="center"/>
            </w:pPr>
          </w:p>
        </w:tc>
      </w:tr>
      <w:tr w14:paraId="4F207BEA">
        <w:tblPrEx>
          <w:tblCellMar>
            <w:top w:w="51" w:type="dxa"/>
            <w:left w:w="108" w:type="dxa"/>
            <w:bottom w:w="0" w:type="dxa"/>
            <w:right w:w="62" w:type="dxa"/>
          </w:tblCellMar>
        </w:tblPrEx>
        <w:trPr>
          <w:trHeight w:val="689" w:hRule="atLeast"/>
        </w:trPr>
        <w:tc>
          <w:tcPr>
            <w:tcW w:w="1263" w:type="dxa"/>
            <w:vMerge w:val="continue"/>
            <w:tcBorders>
              <w:left w:val="single" w:color="000000" w:sz="4" w:space="0"/>
              <w:right w:val="single" w:color="000000" w:sz="4" w:space="0"/>
            </w:tcBorders>
          </w:tcPr>
          <w:p w14:paraId="41B545C3">
            <w:pPr>
              <w:spacing w:after="160" w:line="259" w:lineRule="auto"/>
              <w:ind w:left="0" w:firstLine="0"/>
              <w:jc w:val="center"/>
            </w:pPr>
          </w:p>
        </w:tc>
        <w:tc>
          <w:tcPr>
            <w:tcW w:w="1940" w:type="dxa"/>
            <w:tcBorders>
              <w:top w:val="single" w:color="000000" w:sz="4" w:space="0"/>
              <w:left w:val="single" w:color="auto" w:sz="4" w:space="0"/>
              <w:bottom w:val="single" w:color="000000" w:sz="4" w:space="0"/>
              <w:right w:val="single" w:color="000000" w:sz="4" w:space="0"/>
            </w:tcBorders>
            <w:vAlign w:val="center"/>
          </w:tcPr>
          <w:p w14:paraId="6242112B">
            <w:pPr>
              <w:spacing w:after="0" w:line="259" w:lineRule="auto"/>
              <w:ind w:left="0" w:firstLine="0"/>
              <w:jc w:val="center"/>
              <w:rPr>
                <w:rFonts w:hint="default" w:eastAsia="宋体"/>
                <w:lang w:val="en-US" w:eastAsia="zh-CN"/>
              </w:rPr>
            </w:pPr>
            <w:r>
              <w:rPr>
                <w:rFonts w:hint="eastAsia" w:ascii="Times New Roman" w:hAnsi="Times New Roman" w:cs="Times New Roman" w:eastAsiaTheme="minorEastAsia"/>
                <w:sz w:val="24"/>
              </w:rPr>
              <w:t>14</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3</w:t>
            </w:r>
            <w:r>
              <w:rPr>
                <w:rFonts w:ascii="Times New Roman" w:hAnsi="Times New Roman" w:eastAsia="Times New Roman" w:cs="Times New Roman"/>
                <w:sz w:val="24"/>
              </w:rPr>
              <w:t>0</w:t>
            </w:r>
            <w:r>
              <w:rPr>
                <w:sz w:val="24"/>
              </w:rPr>
              <w:t>～</w:t>
            </w:r>
            <w:r>
              <w:rPr>
                <w:rFonts w:ascii="Times New Roman" w:hAnsi="Times New Roman" w:eastAsia="Times New Roman" w:cs="Times New Roman"/>
                <w:sz w:val="24"/>
              </w:rPr>
              <w:t>1</w:t>
            </w:r>
            <w:r>
              <w:rPr>
                <w:rFonts w:hint="eastAsia" w:ascii="Times New Roman" w:hAnsi="Times New Roman" w:cs="Times New Roman" w:eastAsiaTheme="minorEastAsia"/>
                <w:sz w:val="24"/>
              </w:rPr>
              <w:t>4</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50</w:t>
            </w:r>
          </w:p>
        </w:tc>
        <w:tc>
          <w:tcPr>
            <w:tcW w:w="3627" w:type="dxa"/>
            <w:tcBorders>
              <w:top w:val="single" w:color="000000" w:sz="4" w:space="0"/>
              <w:left w:val="single" w:color="000000" w:sz="4" w:space="0"/>
              <w:bottom w:val="single" w:color="000000" w:sz="4" w:space="0"/>
              <w:right w:val="single" w:color="000000" w:sz="4" w:space="0"/>
            </w:tcBorders>
          </w:tcPr>
          <w:p w14:paraId="1B999BD4">
            <w:pPr>
              <w:spacing w:after="0" w:line="259" w:lineRule="auto"/>
              <w:ind w:left="113" w:firstLine="0"/>
              <w:jc w:val="center"/>
            </w:pPr>
            <w:r>
              <w:rPr>
                <w:sz w:val="24"/>
              </w:rPr>
              <w:t>模块</w:t>
            </w:r>
            <w:r>
              <w:rPr>
                <w:rFonts w:hint="eastAsia"/>
                <w:sz w:val="24"/>
                <w:lang w:val="en-US" w:eastAsia="zh-CN"/>
              </w:rPr>
              <w:t>一</w:t>
            </w:r>
            <w:r>
              <w:rPr>
                <w:sz w:val="24"/>
              </w:rPr>
              <w:t>检录、加密、凭抽签顺序号抽取赛位号</w:t>
            </w:r>
          </w:p>
        </w:tc>
        <w:tc>
          <w:tcPr>
            <w:tcW w:w="0" w:type="auto"/>
            <w:vMerge w:val="continue"/>
            <w:tcBorders>
              <w:top w:val="nil"/>
              <w:left w:val="single" w:color="000000" w:sz="4" w:space="0"/>
              <w:bottom w:val="nil"/>
              <w:right w:val="single" w:color="000000" w:sz="4" w:space="0"/>
            </w:tcBorders>
          </w:tcPr>
          <w:p w14:paraId="6EFBDB7F">
            <w:pPr>
              <w:spacing w:after="160" w:line="259" w:lineRule="auto"/>
              <w:ind w:left="0" w:firstLine="0"/>
              <w:jc w:val="center"/>
            </w:pPr>
          </w:p>
        </w:tc>
      </w:tr>
      <w:tr w14:paraId="063E0409">
        <w:tblPrEx>
          <w:tblCellMar>
            <w:top w:w="51" w:type="dxa"/>
            <w:left w:w="108" w:type="dxa"/>
            <w:bottom w:w="0" w:type="dxa"/>
            <w:right w:w="62" w:type="dxa"/>
          </w:tblCellMar>
        </w:tblPrEx>
        <w:trPr>
          <w:trHeight w:val="618" w:hRule="atLeast"/>
        </w:trPr>
        <w:tc>
          <w:tcPr>
            <w:tcW w:w="1263" w:type="dxa"/>
            <w:vMerge w:val="continue"/>
            <w:tcBorders>
              <w:left w:val="single" w:color="000000" w:sz="4" w:space="0"/>
              <w:right w:val="single" w:color="000000" w:sz="4" w:space="0"/>
            </w:tcBorders>
          </w:tcPr>
          <w:p w14:paraId="2C3EA5B0">
            <w:pPr>
              <w:spacing w:after="160" w:line="259" w:lineRule="auto"/>
              <w:ind w:left="0" w:firstLine="0"/>
              <w:jc w:val="center"/>
            </w:pPr>
          </w:p>
        </w:tc>
        <w:tc>
          <w:tcPr>
            <w:tcW w:w="1940" w:type="dxa"/>
            <w:tcBorders>
              <w:top w:val="single" w:color="000000" w:sz="4" w:space="0"/>
              <w:left w:val="single" w:color="auto" w:sz="4" w:space="0"/>
              <w:bottom w:val="single" w:color="000000" w:sz="4" w:space="0"/>
              <w:right w:val="single" w:color="000000" w:sz="4" w:space="0"/>
            </w:tcBorders>
            <w:vAlign w:val="center"/>
          </w:tcPr>
          <w:p w14:paraId="7A671711">
            <w:pPr>
              <w:spacing w:after="0" w:line="259" w:lineRule="auto"/>
              <w:ind w:left="0" w:firstLine="0"/>
              <w:jc w:val="center"/>
            </w:pPr>
            <w:r>
              <w:rPr>
                <w:rFonts w:ascii="Times New Roman" w:hAnsi="Times New Roman" w:eastAsia="Times New Roman" w:cs="Times New Roman"/>
                <w:sz w:val="24"/>
              </w:rPr>
              <w:t>1</w:t>
            </w:r>
            <w:r>
              <w:rPr>
                <w:rFonts w:hint="eastAsia" w:ascii="Times New Roman" w:hAnsi="Times New Roman" w:cs="Times New Roman" w:eastAsiaTheme="minorEastAsia"/>
                <w:sz w:val="24"/>
                <w:lang w:val="en-US" w:eastAsia="zh-CN"/>
              </w:rPr>
              <w:t>5</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0</w:t>
            </w:r>
            <w:r>
              <w:rPr>
                <w:rFonts w:ascii="Times New Roman" w:hAnsi="Times New Roman" w:eastAsia="Times New Roman" w:cs="Times New Roman"/>
                <w:sz w:val="24"/>
              </w:rPr>
              <w:t>0</w:t>
            </w:r>
            <w:r>
              <w:rPr>
                <w:sz w:val="24"/>
              </w:rPr>
              <w:t>～</w:t>
            </w:r>
            <w:r>
              <w:rPr>
                <w:rFonts w:ascii="Times New Roman" w:hAnsi="Times New Roman" w:eastAsia="Times New Roman" w:cs="Times New Roman"/>
                <w:sz w:val="24"/>
              </w:rPr>
              <w:t>1</w:t>
            </w:r>
            <w:r>
              <w:rPr>
                <w:rFonts w:hint="eastAsia" w:ascii="Times New Roman" w:hAnsi="Times New Roman" w:cs="Times New Roman" w:eastAsiaTheme="minorEastAsia"/>
                <w:sz w:val="24"/>
              </w:rPr>
              <w:t>6</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3</w:t>
            </w:r>
            <w:r>
              <w:rPr>
                <w:rFonts w:ascii="Times New Roman" w:hAnsi="Times New Roman" w:eastAsia="Times New Roman" w:cs="Times New Roman"/>
                <w:sz w:val="24"/>
              </w:rPr>
              <w:t>0</w:t>
            </w:r>
          </w:p>
        </w:tc>
        <w:tc>
          <w:tcPr>
            <w:tcW w:w="3627" w:type="dxa"/>
            <w:tcBorders>
              <w:top w:val="single" w:color="000000" w:sz="4" w:space="0"/>
              <w:left w:val="single" w:color="000000" w:sz="4" w:space="0"/>
              <w:bottom w:val="single" w:color="000000" w:sz="4" w:space="0"/>
              <w:right w:val="single" w:color="000000" w:sz="4" w:space="0"/>
            </w:tcBorders>
            <w:vAlign w:val="center"/>
          </w:tcPr>
          <w:p w14:paraId="5FECE7FA">
            <w:pPr>
              <w:spacing w:after="0" w:line="259" w:lineRule="auto"/>
              <w:ind w:left="113" w:firstLine="0"/>
              <w:jc w:val="center"/>
            </w:pPr>
            <w:r>
              <w:rPr>
                <w:sz w:val="24"/>
              </w:rPr>
              <w:t>模块</w:t>
            </w:r>
            <w:r>
              <w:rPr>
                <w:rFonts w:hint="eastAsia"/>
                <w:sz w:val="24"/>
                <w:lang w:val="en-US" w:eastAsia="zh-CN"/>
              </w:rPr>
              <w:t>一</w:t>
            </w:r>
            <w:r>
              <w:rPr>
                <w:sz w:val="24"/>
              </w:rPr>
              <w:t>比赛</w:t>
            </w:r>
          </w:p>
        </w:tc>
        <w:tc>
          <w:tcPr>
            <w:tcW w:w="0" w:type="auto"/>
            <w:vMerge w:val="continue"/>
            <w:tcBorders>
              <w:top w:val="nil"/>
              <w:left w:val="single" w:color="000000" w:sz="4" w:space="0"/>
              <w:bottom w:val="single" w:color="000000" w:sz="4" w:space="0"/>
              <w:right w:val="single" w:color="000000" w:sz="4" w:space="0"/>
            </w:tcBorders>
          </w:tcPr>
          <w:p w14:paraId="1E8C44F4">
            <w:pPr>
              <w:spacing w:after="160" w:line="259" w:lineRule="auto"/>
              <w:ind w:left="0" w:firstLine="0"/>
              <w:jc w:val="center"/>
            </w:pPr>
          </w:p>
        </w:tc>
      </w:tr>
      <w:tr w14:paraId="60D83EE7">
        <w:tblPrEx>
          <w:tblCellMar>
            <w:top w:w="51" w:type="dxa"/>
            <w:left w:w="108" w:type="dxa"/>
            <w:bottom w:w="0" w:type="dxa"/>
            <w:right w:w="62" w:type="dxa"/>
          </w:tblCellMar>
        </w:tblPrEx>
        <w:trPr>
          <w:trHeight w:val="691" w:hRule="atLeast"/>
        </w:trPr>
        <w:tc>
          <w:tcPr>
            <w:tcW w:w="1263" w:type="dxa"/>
            <w:vMerge w:val="continue"/>
            <w:tcBorders>
              <w:left w:val="single" w:color="000000" w:sz="4" w:space="0"/>
              <w:bottom w:val="single" w:color="auto" w:sz="4" w:space="0"/>
              <w:right w:val="single" w:color="000000" w:sz="4" w:space="0"/>
            </w:tcBorders>
          </w:tcPr>
          <w:p w14:paraId="142D7403">
            <w:pPr>
              <w:spacing w:after="160" w:line="259" w:lineRule="auto"/>
              <w:ind w:left="0" w:firstLine="0"/>
              <w:jc w:val="center"/>
            </w:pPr>
          </w:p>
        </w:tc>
        <w:tc>
          <w:tcPr>
            <w:tcW w:w="1940" w:type="dxa"/>
            <w:tcBorders>
              <w:top w:val="single" w:color="000000" w:sz="4" w:space="0"/>
              <w:left w:val="single" w:color="auto" w:sz="4" w:space="0"/>
              <w:bottom w:val="single" w:color="000000" w:sz="4" w:space="0"/>
              <w:right w:val="single" w:color="000000" w:sz="4" w:space="0"/>
            </w:tcBorders>
            <w:vAlign w:val="center"/>
          </w:tcPr>
          <w:p w14:paraId="2EC8470C">
            <w:pPr>
              <w:spacing w:after="0" w:line="259" w:lineRule="auto"/>
              <w:ind w:left="0" w:firstLine="0"/>
              <w:jc w:val="center"/>
              <w:rPr>
                <w:rFonts w:hint="default" w:eastAsia="宋体"/>
                <w:lang w:val="en-US" w:eastAsia="zh-CN"/>
              </w:rPr>
            </w:pPr>
            <w:r>
              <w:rPr>
                <w:rFonts w:ascii="Times New Roman" w:hAnsi="Times New Roman" w:eastAsia="Times New Roman" w:cs="Times New Roman"/>
                <w:sz w:val="24"/>
              </w:rPr>
              <w:t>1</w:t>
            </w:r>
            <w:r>
              <w:rPr>
                <w:rFonts w:hint="eastAsia" w:ascii="Times New Roman" w:hAnsi="Times New Roman" w:cs="Times New Roman" w:eastAsiaTheme="minorEastAsia"/>
                <w:sz w:val="24"/>
              </w:rPr>
              <w:t>6</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3</w:t>
            </w:r>
            <w:r>
              <w:rPr>
                <w:rFonts w:ascii="Times New Roman" w:hAnsi="Times New Roman" w:eastAsia="Times New Roman" w:cs="Times New Roman"/>
                <w:sz w:val="24"/>
              </w:rPr>
              <w:t>0</w:t>
            </w:r>
            <w:r>
              <w:rPr>
                <w:sz w:val="24"/>
              </w:rPr>
              <w:t>～</w:t>
            </w:r>
            <w:r>
              <w:rPr>
                <w:rFonts w:hint="eastAsia"/>
                <w:sz w:val="24"/>
              </w:rPr>
              <w:t>17</w:t>
            </w:r>
            <w:r>
              <w:rPr>
                <w:rFonts w:ascii="Times New Roman" w:hAnsi="Times New Roman" w:eastAsia="Times New Roman" w:cs="Times New Roman"/>
                <w:sz w:val="24"/>
              </w:rPr>
              <w:t>:</w:t>
            </w:r>
            <w:r>
              <w:rPr>
                <w:rFonts w:hint="eastAsia" w:ascii="Times New Roman" w:hAnsi="Times New Roman" w:eastAsia="宋体" w:cs="Times New Roman"/>
                <w:sz w:val="24"/>
                <w:lang w:val="en-US" w:eastAsia="zh-CN"/>
              </w:rPr>
              <w:t>30</w:t>
            </w:r>
          </w:p>
        </w:tc>
        <w:tc>
          <w:tcPr>
            <w:tcW w:w="3627" w:type="dxa"/>
            <w:tcBorders>
              <w:top w:val="single" w:color="000000" w:sz="4" w:space="0"/>
              <w:left w:val="single" w:color="000000" w:sz="4" w:space="0"/>
              <w:bottom w:val="single" w:color="000000" w:sz="4" w:space="0"/>
              <w:right w:val="single" w:color="000000" w:sz="4" w:space="0"/>
            </w:tcBorders>
            <w:vAlign w:val="center"/>
          </w:tcPr>
          <w:p w14:paraId="545A546D">
            <w:pPr>
              <w:spacing w:after="0" w:line="259" w:lineRule="auto"/>
              <w:ind w:left="113" w:firstLine="0"/>
              <w:jc w:val="center"/>
            </w:pPr>
            <w:r>
              <w:rPr>
                <w:rFonts w:hint="eastAsia"/>
                <w:sz w:val="24"/>
              </w:rPr>
              <w:t>模块</w:t>
            </w:r>
            <w:r>
              <w:rPr>
                <w:rFonts w:hint="eastAsia"/>
                <w:sz w:val="24"/>
                <w:lang w:val="en-US" w:eastAsia="zh-CN"/>
              </w:rPr>
              <w:t>一</w:t>
            </w:r>
            <w:r>
              <w:rPr>
                <w:rFonts w:hint="eastAsia"/>
                <w:sz w:val="24"/>
              </w:rPr>
              <w:t>评分及汇总整理</w:t>
            </w:r>
          </w:p>
        </w:tc>
        <w:tc>
          <w:tcPr>
            <w:tcW w:w="0" w:type="auto"/>
            <w:vMerge w:val="continue"/>
            <w:tcBorders>
              <w:top w:val="nil"/>
              <w:left w:val="single" w:color="000000" w:sz="4" w:space="0"/>
              <w:bottom w:val="single" w:color="000000" w:sz="4" w:space="0"/>
              <w:right w:val="single" w:color="000000" w:sz="4" w:space="0"/>
            </w:tcBorders>
          </w:tcPr>
          <w:p w14:paraId="2865B4DD">
            <w:pPr>
              <w:spacing w:after="160" w:line="259" w:lineRule="auto"/>
              <w:ind w:left="0" w:firstLine="0"/>
              <w:jc w:val="center"/>
            </w:pPr>
          </w:p>
        </w:tc>
      </w:tr>
    </w:tbl>
    <w:p w14:paraId="5E5DBF9B">
      <w:pPr>
        <w:numPr>
          <w:ilvl w:val="0"/>
          <w:numId w:val="2"/>
        </w:numPr>
        <w:spacing w:line="360" w:lineRule="auto"/>
        <w:ind w:left="0" w:leftChars="0" w:firstLine="602" w:firstLineChars="200"/>
        <w:rPr>
          <w:b/>
          <w:bCs/>
          <w:sz w:val="30"/>
          <w:szCs w:val="30"/>
        </w:rPr>
      </w:pPr>
      <w:bookmarkStart w:id="0" w:name="_Hlk161237188"/>
      <w:r>
        <w:rPr>
          <w:b/>
          <w:bCs/>
          <w:sz w:val="30"/>
          <w:szCs w:val="30"/>
        </w:rPr>
        <w:t>场次安排</w:t>
      </w:r>
      <w:bookmarkStart w:id="1" w:name="_GoBack"/>
      <w:bookmarkEnd w:id="1"/>
      <w:r>
        <w:rPr>
          <w:b/>
          <w:bCs/>
          <w:sz w:val="30"/>
          <w:szCs w:val="30"/>
        </w:rPr>
        <w:t xml:space="preserve"> </w:t>
      </w:r>
    </w:p>
    <w:p w14:paraId="4D8C78F2">
      <w:pPr>
        <w:spacing w:line="360" w:lineRule="auto"/>
        <w:rPr>
          <w:sz w:val="24"/>
        </w:rPr>
      </w:pPr>
      <w:r>
        <w:rPr>
          <w:sz w:val="24"/>
        </w:rPr>
        <w:t xml:space="preserve">具体竞赛场次安排见表 3。 </w:t>
      </w:r>
    </w:p>
    <w:p w14:paraId="2108BB60">
      <w:pPr>
        <w:spacing w:line="259" w:lineRule="auto"/>
        <w:ind w:left="10" w:right="3156"/>
        <w:jc w:val="right"/>
        <w:rPr>
          <w:sz w:val="24"/>
        </w:rPr>
      </w:pPr>
      <w:r>
        <w:rPr>
          <w:sz w:val="24"/>
        </w:rPr>
        <w:t xml:space="preserve">表3 比赛场次安排 </w:t>
      </w:r>
    </w:p>
    <w:tbl>
      <w:tblPr>
        <w:tblStyle w:val="8"/>
        <w:tblW w:w="8524" w:type="dxa"/>
        <w:tblInd w:w="-108" w:type="dxa"/>
        <w:tblLayout w:type="autofit"/>
        <w:tblCellMar>
          <w:top w:w="104" w:type="dxa"/>
          <w:left w:w="206" w:type="dxa"/>
          <w:bottom w:w="0" w:type="dxa"/>
          <w:right w:w="115" w:type="dxa"/>
        </w:tblCellMar>
      </w:tblPr>
      <w:tblGrid>
        <w:gridCol w:w="1385"/>
        <w:gridCol w:w="1791"/>
        <w:gridCol w:w="1920"/>
        <w:gridCol w:w="1633"/>
        <w:gridCol w:w="1795"/>
      </w:tblGrid>
      <w:tr w14:paraId="3064CBBB">
        <w:tblPrEx>
          <w:tblCellMar>
            <w:top w:w="104" w:type="dxa"/>
            <w:left w:w="206" w:type="dxa"/>
            <w:bottom w:w="0" w:type="dxa"/>
            <w:right w:w="115" w:type="dxa"/>
          </w:tblCellMar>
        </w:tblPrEx>
        <w:trPr>
          <w:trHeight w:val="463" w:hRule="atLeast"/>
        </w:trPr>
        <w:tc>
          <w:tcPr>
            <w:tcW w:w="1385" w:type="dxa"/>
            <w:tcBorders>
              <w:top w:val="single" w:color="000000" w:sz="4" w:space="0"/>
              <w:left w:val="single" w:color="000000" w:sz="4" w:space="0"/>
              <w:bottom w:val="single" w:color="000000" w:sz="4" w:space="0"/>
              <w:right w:val="single" w:color="000000" w:sz="4" w:space="0"/>
            </w:tcBorders>
            <w:vAlign w:val="center"/>
          </w:tcPr>
          <w:p w14:paraId="38E432BC">
            <w:pPr>
              <w:spacing w:after="0" w:line="259" w:lineRule="auto"/>
              <w:ind w:left="2" w:firstLine="0"/>
            </w:pPr>
            <w:r>
              <w:rPr>
                <w:sz w:val="24"/>
              </w:rPr>
              <w:t>赛项分项</w:t>
            </w:r>
            <w:r>
              <w:rPr>
                <w:rFonts w:ascii="Times New Roman" w:hAnsi="Times New Roman" w:eastAsia="Times New Roman" w:cs="Times New Roman"/>
                <w:b/>
                <w:sz w:val="24"/>
              </w:rPr>
              <w:t xml:space="preserve"> </w:t>
            </w:r>
          </w:p>
        </w:tc>
        <w:tc>
          <w:tcPr>
            <w:tcW w:w="1791" w:type="dxa"/>
            <w:tcBorders>
              <w:top w:val="single" w:color="000000" w:sz="4" w:space="0"/>
              <w:left w:val="single" w:color="000000" w:sz="4" w:space="0"/>
              <w:bottom w:val="single" w:color="000000" w:sz="4" w:space="0"/>
              <w:right w:val="single" w:color="000000" w:sz="4" w:space="0"/>
            </w:tcBorders>
            <w:vAlign w:val="center"/>
          </w:tcPr>
          <w:p w14:paraId="257B2A71">
            <w:pPr>
              <w:spacing w:after="0" w:line="259" w:lineRule="auto"/>
              <w:ind w:left="0" w:right="93" w:firstLine="0"/>
              <w:jc w:val="center"/>
            </w:pPr>
            <w:r>
              <w:rPr>
                <w:sz w:val="24"/>
              </w:rPr>
              <w:t>时间</w:t>
            </w:r>
            <w:r>
              <w:rPr>
                <w:rFonts w:ascii="Times New Roman" w:hAnsi="Times New Roman" w:eastAsia="Times New Roman" w:cs="Times New Roman"/>
                <w:b/>
                <w:sz w:val="24"/>
              </w:rPr>
              <w:t xml:space="preserve"> </w:t>
            </w:r>
          </w:p>
        </w:tc>
        <w:tc>
          <w:tcPr>
            <w:tcW w:w="1920" w:type="dxa"/>
            <w:tcBorders>
              <w:top w:val="single" w:color="000000" w:sz="4" w:space="0"/>
              <w:left w:val="single" w:color="000000" w:sz="4" w:space="0"/>
              <w:bottom w:val="single" w:color="000000" w:sz="4" w:space="0"/>
              <w:right w:val="single" w:color="000000" w:sz="4" w:space="0"/>
            </w:tcBorders>
            <w:vAlign w:val="center"/>
          </w:tcPr>
          <w:p w14:paraId="01180A38">
            <w:pPr>
              <w:spacing w:after="0" w:line="259" w:lineRule="auto"/>
              <w:ind w:left="0" w:right="92" w:firstLine="0"/>
              <w:jc w:val="center"/>
            </w:pPr>
            <w:r>
              <w:rPr>
                <w:sz w:val="24"/>
              </w:rPr>
              <w:t>任务安排</w:t>
            </w:r>
            <w:r>
              <w:rPr>
                <w:rFonts w:ascii="Times New Roman" w:hAnsi="Times New Roman" w:eastAsia="Times New Roman" w:cs="Times New Roman"/>
                <w:b/>
                <w:sz w:val="24"/>
              </w:rPr>
              <w:t xml:space="preserve"> </w:t>
            </w:r>
          </w:p>
        </w:tc>
        <w:tc>
          <w:tcPr>
            <w:tcW w:w="1633" w:type="dxa"/>
            <w:tcBorders>
              <w:top w:val="single" w:color="000000" w:sz="4" w:space="0"/>
              <w:left w:val="single" w:color="000000" w:sz="4" w:space="0"/>
              <w:bottom w:val="single" w:color="000000" w:sz="4" w:space="0"/>
              <w:right w:val="single" w:color="000000" w:sz="4" w:space="0"/>
            </w:tcBorders>
            <w:vAlign w:val="center"/>
          </w:tcPr>
          <w:p w14:paraId="124CBFAB">
            <w:pPr>
              <w:spacing w:after="0" w:line="259" w:lineRule="auto"/>
              <w:ind w:left="0" w:right="94" w:firstLine="0"/>
              <w:jc w:val="center"/>
            </w:pPr>
            <w:r>
              <w:rPr>
                <w:sz w:val="24"/>
              </w:rPr>
              <w:t>地点</w:t>
            </w:r>
            <w:r>
              <w:rPr>
                <w:rFonts w:ascii="Times New Roman" w:hAnsi="Times New Roman" w:eastAsia="Times New Roman" w:cs="Times New Roman"/>
                <w:b/>
                <w:sz w:val="24"/>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2561B4E0">
            <w:pPr>
              <w:spacing w:after="0" w:line="259" w:lineRule="auto"/>
              <w:ind w:left="0" w:right="94" w:firstLine="0"/>
              <w:jc w:val="center"/>
            </w:pPr>
            <w:r>
              <w:rPr>
                <w:sz w:val="24"/>
              </w:rPr>
              <w:t>备注</w:t>
            </w:r>
            <w:r>
              <w:rPr>
                <w:rFonts w:ascii="Times New Roman" w:hAnsi="Times New Roman" w:eastAsia="Times New Roman" w:cs="Times New Roman"/>
                <w:b/>
                <w:sz w:val="24"/>
              </w:rPr>
              <w:t xml:space="preserve"> </w:t>
            </w:r>
          </w:p>
        </w:tc>
      </w:tr>
      <w:tr w14:paraId="3732D87D">
        <w:tblPrEx>
          <w:tblCellMar>
            <w:top w:w="104" w:type="dxa"/>
            <w:left w:w="206" w:type="dxa"/>
            <w:bottom w:w="0" w:type="dxa"/>
            <w:right w:w="115" w:type="dxa"/>
          </w:tblCellMar>
        </w:tblPrEx>
        <w:trPr>
          <w:trHeight w:val="466" w:hRule="atLeast"/>
        </w:trPr>
        <w:tc>
          <w:tcPr>
            <w:tcW w:w="1385" w:type="dxa"/>
            <w:tcBorders>
              <w:top w:val="single" w:color="000000" w:sz="4" w:space="0"/>
              <w:left w:val="single" w:color="000000" w:sz="4" w:space="0"/>
              <w:bottom w:val="single" w:color="000000" w:sz="4" w:space="0"/>
              <w:right w:val="single" w:color="000000" w:sz="4" w:space="0"/>
            </w:tcBorders>
            <w:vAlign w:val="center"/>
          </w:tcPr>
          <w:p w14:paraId="25E898AB">
            <w:pPr>
              <w:spacing w:after="0" w:line="259" w:lineRule="auto"/>
              <w:ind w:left="125" w:firstLine="0"/>
            </w:pPr>
            <w:r>
              <w:rPr>
                <w:sz w:val="24"/>
              </w:rPr>
              <w:t>模块一</w:t>
            </w:r>
            <w:r>
              <w:rPr>
                <w:rFonts w:ascii="Times New Roman" w:hAnsi="Times New Roman" w:eastAsia="Times New Roman" w:cs="Times New Roman"/>
                <w:sz w:val="24"/>
              </w:rPr>
              <w:t xml:space="preserve"> </w:t>
            </w:r>
          </w:p>
        </w:tc>
        <w:tc>
          <w:tcPr>
            <w:tcW w:w="1791" w:type="dxa"/>
            <w:tcBorders>
              <w:top w:val="single" w:color="000000" w:sz="4" w:space="0"/>
              <w:left w:val="single" w:color="000000" w:sz="4" w:space="0"/>
              <w:bottom w:val="single" w:color="000000" w:sz="4" w:space="0"/>
              <w:right w:val="single" w:color="000000" w:sz="4" w:space="0"/>
            </w:tcBorders>
          </w:tcPr>
          <w:p w14:paraId="67359E24">
            <w:pPr>
              <w:spacing w:after="0" w:line="259" w:lineRule="auto"/>
              <w:ind w:left="0" w:right="91" w:firstLine="0"/>
              <w:jc w:val="center"/>
            </w:pPr>
            <w:r>
              <w:rPr>
                <w:rFonts w:hint="eastAsia" w:ascii="Times New Roman" w:hAnsi="Times New Roman" w:cs="Times New Roman" w:eastAsiaTheme="minorEastAsia"/>
                <w:sz w:val="24"/>
                <w:lang w:val="en-US" w:eastAsia="zh-CN"/>
              </w:rPr>
              <w:t>15</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0</w:t>
            </w:r>
            <w:r>
              <w:rPr>
                <w:rFonts w:ascii="Times New Roman" w:hAnsi="Times New Roman" w:eastAsia="Times New Roman" w:cs="Times New Roman"/>
                <w:sz w:val="24"/>
              </w:rPr>
              <w:t>0</w:t>
            </w:r>
            <w:r>
              <w:rPr>
                <w:sz w:val="24"/>
              </w:rPr>
              <w:t>～</w:t>
            </w:r>
            <w:r>
              <w:rPr>
                <w:rFonts w:ascii="Times New Roman" w:hAnsi="Times New Roman" w:eastAsia="Times New Roman" w:cs="Times New Roman"/>
                <w:sz w:val="24"/>
              </w:rPr>
              <w:t>1</w:t>
            </w:r>
            <w:r>
              <w:rPr>
                <w:rFonts w:hint="eastAsia" w:ascii="Times New Roman" w:hAnsi="Times New Roman" w:cs="Times New Roman" w:eastAsiaTheme="minorEastAsia"/>
                <w:sz w:val="24"/>
                <w:lang w:val="en-US" w:eastAsia="zh-CN"/>
              </w:rPr>
              <w:t>6</w:t>
            </w:r>
            <w:r>
              <w:rPr>
                <w:rFonts w:ascii="Times New Roman" w:hAnsi="Times New Roman" w:eastAsia="Times New Roman" w:cs="Times New Roman"/>
                <w:sz w:val="24"/>
              </w:rPr>
              <w:t>:</w:t>
            </w:r>
            <w:r>
              <w:rPr>
                <w:rFonts w:hint="eastAsia" w:ascii="Times New Roman" w:hAnsi="Times New Roman" w:cs="Times New Roman" w:eastAsiaTheme="minorEastAsia"/>
                <w:sz w:val="24"/>
                <w:lang w:val="en-US" w:eastAsia="zh-CN"/>
              </w:rPr>
              <w:t>3</w:t>
            </w:r>
            <w:r>
              <w:rPr>
                <w:rFonts w:ascii="Times New Roman" w:hAnsi="Times New Roman" w:eastAsia="Times New Roman" w:cs="Times New Roman"/>
                <w:sz w:val="24"/>
              </w:rPr>
              <w:t xml:space="preserve">0 </w:t>
            </w:r>
          </w:p>
        </w:tc>
        <w:tc>
          <w:tcPr>
            <w:tcW w:w="1920" w:type="dxa"/>
            <w:tcBorders>
              <w:top w:val="single" w:color="000000" w:sz="4" w:space="0"/>
              <w:left w:val="single" w:color="000000" w:sz="4" w:space="0"/>
              <w:bottom w:val="single" w:color="000000" w:sz="4" w:space="0"/>
              <w:right w:val="single" w:color="000000" w:sz="4" w:space="0"/>
            </w:tcBorders>
            <w:vAlign w:val="center"/>
          </w:tcPr>
          <w:p w14:paraId="0F00AE40">
            <w:pPr>
              <w:spacing w:after="0" w:line="259" w:lineRule="auto"/>
              <w:ind w:left="34" w:firstLine="0"/>
            </w:pPr>
            <w:r>
              <w:rPr>
                <w:sz w:val="24"/>
              </w:rPr>
              <w:t>仿真软件竞赛</w:t>
            </w:r>
            <w:r>
              <w:rPr>
                <w:rFonts w:ascii="Times New Roman" w:hAnsi="Times New Roman" w:eastAsia="Times New Roman" w:cs="Times New Roman"/>
                <w:sz w:val="24"/>
              </w:rPr>
              <w:t xml:space="preserve"> </w:t>
            </w:r>
          </w:p>
        </w:tc>
        <w:tc>
          <w:tcPr>
            <w:tcW w:w="1633" w:type="dxa"/>
            <w:tcBorders>
              <w:top w:val="single" w:color="000000" w:sz="4" w:space="0"/>
              <w:left w:val="single" w:color="000000" w:sz="4" w:space="0"/>
              <w:bottom w:val="single" w:color="000000" w:sz="4" w:space="0"/>
              <w:right w:val="single" w:color="000000" w:sz="4" w:space="0"/>
            </w:tcBorders>
            <w:vAlign w:val="center"/>
          </w:tcPr>
          <w:p w14:paraId="28297CE8">
            <w:pPr>
              <w:spacing w:after="0" w:line="259" w:lineRule="auto"/>
              <w:ind w:left="10" w:firstLine="0"/>
            </w:pPr>
            <w:r>
              <w:rPr>
                <w:sz w:val="24"/>
              </w:rPr>
              <w:t>承办校确定</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14:paraId="5AA997D6">
            <w:pPr>
              <w:spacing w:after="0" w:line="259" w:lineRule="auto"/>
              <w:ind w:left="0" w:right="94" w:firstLine="0"/>
              <w:jc w:val="center"/>
            </w:pPr>
            <w:r>
              <w:rPr>
                <w:rFonts w:ascii="Times New Roman" w:hAnsi="Times New Roman" w:eastAsia="Times New Roman" w:cs="Times New Roman"/>
                <w:sz w:val="24"/>
              </w:rPr>
              <w:t xml:space="preserve">1 </w:t>
            </w:r>
            <w:r>
              <w:rPr>
                <w:sz w:val="24"/>
              </w:rPr>
              <w:t>号选手</w:t>
            </w:r>
            <w:r>
              <w:rPr>
                <w:rFonts w:ascii="Times New Roman" w:hAnsi="Times New Roman" w:eastAsia="Times New Roman" w:cs="Times New Roman"/>
                <w:sz w:val="24"/>
              </w:rPr>
              <w:t xml:space="preserve"> </w:t>
            </w:r>
          </w:p>
        </w:tc>
      </w:tr>
      <w:tr w14:paraId="20E9E1B7">
        <w:tblPrEx>
          <w:tblCellMar>
            <w:top w:w="104" w:type="dxa"/>
            <w:left w:w="206" w:type="dxa"/>
            <w:bottom w:w="0" w:type="dxa"/>
            <w:right w:w="115" w:type="dxa"/>
          </w:tblCellMar>
        </w:tblPrEx>
        <w:trPr>
          <w:trHeight w:val="463" w:hRule="atLeast"/>
        </w:trPr>
        <w:tc>
          <w:tcPr>
            <w:tcW w:w="1385" w:type="dxa"/>
            <w:tcBorders>
              <w:top w:val="single" w:color="000000" w:sz="4" w:space="0"/>
              <w:left w:val="single" w:color="000000" w:sz="4" w:space="0"/>
              <w:bottom w:val="single" w:color="000000" w:sz="4" w:space="0"/>
              <w:right w:val="single" w:color="000000" w:sz="4" w:space="0"/>
            </w:tcBorders>
            <w:vAlign w:val="center"/>
          </w:tcPr>
          <w:p w14:paraId="34A814E5">
            <w:pPr>
              <w:spacing w:after="0" w:line="259" w:lineRule="auto"/>
              <w:ind w:left="125" w:firstLine="0"/>
            </w:pPr>
            <w:r>
              <w:rPr>
                <w:sz w:val="24"/>
              </w:rPr>
              <w:t>模块二</w:t>
            </w:r>
            <w:r>
              <w:rPr>
                <w:rFonts w:ascii="Times New Roman" w:hAnsi="Times New Roman" w:eastAsia="Times New Roman" w:cs="Times New Roman"/>
                <w:sz w:val="24"/>
              </w:rPr>
              <w:t xml:space="preserve"> </w:t>
            </w:r>
          </w:p>
        </w:tc>
        <w:tc>
          <w:tcPr>
            <w:tcW w:w="1791" w:type="dxa"/>
            <w:tcBorders>
              <w:top w:val="single" w:color="000000" w:sz="4" w:space="0"/>
              <w:left w:val="single" w:color="000000" w:sz="4" w:space="0"/>
              <w:bottom w:val="single" w:color="000000" w:sz="4" w:space="0"/>
              <w:right w:val="single" w:color="000000" w:sz="4" w:space="0"/>
            </w:tcBorders>
            <w:vAlign w:val="center"/>
          </w:tcPr>
          <w:p w14:paraId="2F3654BB">
            <w:pPr>
              <w:spacing w:after="0" w:line="259" w:lineRule="auto"/>
              <w:ind w:left="22" w:firstLine="0"/>
            </w:pPr>
            <w:r>
              <w:rPr>
                <w:rFonts w:hint="eastAsia"/>
                <w:sz w:val="24"/>
              </w:rPr>
              <w:t>1</w:t>
            </w:r>
            <w:r>
              <w:rPr>
                <w:rFonts w:hint="eastAsia"/>
                <w:sz w:val="24"/>
                <w:lang w:val="en-US" w:eastAsia="zh-CN"/>
              </w:rPr>
              <w:t>0</w:t>
            </w:r>
            <w:r>
              <w:rPr>
                <w:sz w:val="24"/>
              </w:rPr>
              <w:t>:</w:t>
            </w:r>
            <w:r>
              <w:rPr>
                <w:rFonts w:hint="eastAsia"/>
                <w:sz w:val="24"/>
                <w:lang w:val="en-US" w:eastAsia="zh-CN"/>
              </w:rPr>
              <w:t>2</w:t>
            </w:r>
            <w:r>
              <w:rPr>
                <w:sz w:val="24"/>
              </w:rPr>
              <w:t>0～</w:t>
            </w:r>
            <w:r>
              <w:rPr>
                <w:rFonts w:hint="eastAsia"/>
                <w:sz w:val="24"/>
                <w:lang w:val="en-US" w:eastAsia="zh-CN"/>
              </w:rPr>
              <w:t>11</w:t>
            </w:r>
            <w:r>
              <w:rPr>
                <w:sz w:val="24"/>
              </w:rPr>
              <w:t>:</w:t>
            </w:r>
            <w:r>
              <w:rPr>
                <w:rFonts w:hint="eastAsia"/>
                <w:sz w:val="24"/>
                <w:lang w:val="en-US" w:eastAsia="zh-CN"/>
              </w:rPr>
              <w:t>5</w:t>
            </w:r>
            <w:r>
              <w:rPr>
                <w:sz w:val="24"/>
              </w:rPr>
              <w:t>0</w:t>
            </w:r>
          </w:p>
        </w:tc>
        <w:tc>
          <w:tcPr>
            <w:tcW w:w="1920" w:type="dxa"/>
            <w:tcBorders>
              <w:top w:val="single" w:color="000000" w:sz="4" w:space="0"/>
              <w:left w:val="single" w:color="000000" w:sz="4" w:space="0"/>
              <w:bottom w:val="single" w:color="000000" w:sz="4" w:space="0"/>
              <w:right w:val="single" w:color="000000" w:sz="4" w:space="0"/>
            </w:tcBorders>
            <w:vAlign w:val="center"/>
          </w:tcPr>
          <w:p w14:paraId="525D64F8">
            <w:pPr>
              <w:spacing w:after="0" w:line="259" w:lineRule="auto"/>
              <w:ind w:left="0" w:right="92" w:firstLine="0"/>
              <w:jc w:val="center"/>
            </w:pPr>
            <w:r>
              <w:rPr>
                <w:rFonts w:hint="eastAsia"/>
                <w:sz w:val="24"/>
              </w:rPr>
              <w:t>理论机考</w:t>
            </w:r>
          </w:p>
        </w:tc>
        <w:tc>
          <w:tcPr>
            <w:tcW w:w="1633" w:type="dxa"/>
            <w:tcBorders>
              <w:top w:val="single" w:color="000000" w:sz="4" w:space="0"/>
              <w:left w:val="single" w:color="000000" w:sz="4" w:space="0"/>
              <w:bottom w:val="single" w:color="000000" w:sz="4" w:space="0"/>
              <w:right w:val="single" w:color="000000" w:sz="4" w:space="0"/>
            </w:tcBorders>
            <w:vAlign w:val="center"/>
          </w:tcPr>
          <w:p w14:paraId="63F77288">
            <w:pPr>
              <w:spacing w:after="0" w:line="259" w:lineRule="auto"/>
              <w:ind w:left="10" w:firstLine="0"/>
            </w:pPr>
            <w:r>
              <w:rPr>
                <w:sz w:val="24"/>
              </w:rPr>
              <w:t>承办校确定</w:t>
            </w:r>
          </w:p>
        </w:tc>
        <w:tc>
          <w:tcPr>
            <w:tcW w:w="1795" w:type="dxa"/>
            <w:tcBorders>
              <w:top w:val="single" w:color="000000" w:sz="4" w:space="0"/>
              <w:left w:val="single" w:color="000000" w:sz="4" w:space="0"/>
              <w:bottom w:val="single" w:color="000000" w:sz="4" w:space="0"/>
              <w:right w:val="single" w:color="000000" w:sz="4" w:space="0"/>
            </w:tcBorders>
            <w:vAlign w:val="center"/>
          </w:tcPr>
          <w:p w14:paraId="26F1AF96">
            <w:pPr>
              <w:spacing w:after="0" w:line="259" w:lineRule="auto"/>
              <w:ind w:left="60" w:firstLine="0"/>
            </w:pPr>
            <w:r>
              <w:rPr>
                <w:rFonts w:eastAsia="Times New Roman"/>
                <w:sz w:val="24"/>
              </w:rPr>
              <w:t>2</w:t>
            </w:r>
            <w:r>
              <w:rPr>
                <w:sz w:val="24"/>
              </w:rPr>
              <w:t>、</w:t>
            </w:r>
            <w:r>
              <w:rPr>
                <w:rFonts w:eastAsia="Times New Roman"/>
                <w:sz w:val="24"/>
              </w:rPr>
              <w:t xml:space="preserve">3 </w:t>
            </w:r>
            <w:r>
              <w:rPr>
                <w:sz w:val="24"/>
              </w:rPr>
              <w:t>号选手</w:t>
            </w:r>
          </w:p>
        </w:tc>
      </w:tr>
    </w:tbl>
    <w:p w14:paraId="61070494">
      <w:pPr>
        <w:spacing w:line="259" w:lineRule="auto"/>
        <w:ind w:right="3156"/>
        <w:jc w:val="both"/>
        <w:rPr>
          <w:sz w:val="24"/>
        </w:rPr>
      </w:pPr>
    </w:p>
    <w:bookmarkEnd w:id="0"/>
    <w:p w14:paraId="34D5F210">
      <w:pPr>
        <w:spacing w:line="360" w:lineRule="auto"/>
        <w:ind w:right="1232"/>
        <w:rPr>
          <w:rFonts w:hint="eastAsia" w:ascii="黑体" w:hAnsi="黑体" w:eastAsia="黑体" w:cs="宋体"/>
          <w:sz w:val="30"/>
          <w:szCs w:val="30"/>
        </w:rPr>
      </w:pPr>
    </w:p>
    <w:p w14:paraId="0D245787">
      <w:pPr>
        <w:spacing w:line="360" w:lineRule="auto"/>
        <w:ind w:right="1232"/>
        <w:rPr>
          <w:rFonts w:ascii="黑体" w:hAnsi="黑体" w:eastAsia="黑体" w:cs="宋体"/>
          <w:sz w:val="30"/>
          <w:szCs w:val="30"/>
        </w:rPr>
      </w:pPr>
      <w:r>
        <w:rPr>
          <w:rFonts w:hint="eastAsia" w:ascii="黑体" w:hAnsi="黑体" w:eastAsia="黑体" w:cs="宋体"/>
          <w:sz w:val="30"/>
          <w:szCs w:val="30"/>
        </w:rPr>
        <w:t xml:space="preserve">六、比赛规则 </w:t>
      </w:r>
    </w:p>
    <w:p w14:paraId="463E9F66">
      <w:pPr>
        <w:spacing w:line="360" w:lineRule="auto"/>
        <w:ind w:firstLine="480" w:firstLineChars="200"/>
        <w:rPr>
          <w:sz w:val="24"/>
        </w:rPr>
      </w:pPr>
      <w:r>
        <w:rPr>
          <w:rFonts w:hint="eastAsia"/>
          <w:sz w:val="24"/>
        </w:rPr>
        <w:t>(一)</w:t>
      </w:r>
      <w:r>
        <w:rPr>
          <w:sz w:val="24"/>
        </w:rPr>
        <w:t xml:space="preserve">报名及组队规则 </w:t>
      </w:r>
    </w:p>
    <w:p w14:paraId="6B75DF39">
      <w:pPr>
        <w:spacing w:line="360" w:lineRule="auto"/>
        <w:ind w:firstLine="480" w:firstLineChars="200"/>
        <w:rPr>
          <w:sz w:val="24"/>
        </w:rPr>
      </w:pPr>
      <w:r>
        <w:rPr>
          <w:sz w:val="24"/>
        </w:rPr>
        <w:t xml:space="preserve">1.使用规定的市或学校等行政区代表队名称，不接受跨校组队报名。 </w:t>
      </w:r>
    </w:p>
    <w:p w14:paraId="24017F60">
      <w:pPr>
        <w:spacing w:line="360" w:lineRule="auto"/>
        <w:ind w:firstLine="480" w:firstLineChars="200"/>
        <w:rPr>
          <w:sz w:val="24"/>
        </w:rPr>
      </w:pPr>
      <w:r>
        <w:rPr>
          <w:sz w:val="24"/>
        </w:rPr>
        <w:t xml:space="preserve">2.每个参赛队不超过2名指导教师，指导教师须为本校在职教师。 </w:t>
      </w:r>
    </w:p>
    <w:p w14:paraId="30C1470F">
      <w:pPr>
        <w:spacing w:line="360" w:lineRule="auto"/>
        <w:ind w:firstLine="480" w:firstLineChars="200"/>
        <w:rPr>
          <w:rFonts w:hint="eastAsia"/>
          <w:sz w:val="24"/>
          <w:lang w:val="en-US" w:eastAsia="zh-CN"/>
        </w:rPr>
      </w:pPr>
      <w:r>
        <w:rPr>
          <w:sz w:val="24"/>
        </w:rPr>
        <w:t>3.参赛选手须为</w:t>
      </w:r>
      <w:r>
        <w:rPr>
          <w:rFonts w:hint="eastAsia"/>
          <w:sz w:val="24"/>
          <w:lang w:val="en-US" w:eastAsia="zh-CN"/>
        </w:rPr>
        <w:t>唐山市中等职业学校(含技工类学校）</w:t>
      </w:r>
      <w:r>
        <w:rPr>
          <w:rFonts w:hint="eastAsia"/>
          <w:sz w:val="24"/>
        </w:rPr>
        <w:t>202</w:t>
      </w:r>
      <w:r>
        <w:rPr>
          <w:rFonts w:hint="eastAsia"/>
          <w:sz w:val="24"/>
          <w:lang w:val="en-US" w:eastAsia="zh-CN"/>
        </w:rPr>
        <w:t>5</w:t>
      </w:r>
      <w:r>
        <w:rPr>
          <w:rFonts w:hint="eastAsia"/>
          <w:sz w:val="24"/>
        </w:rPr>
        <w:t>年全日制在籍学生</w:t>
      </w:r>
      <w:r>
        <w:rPr>
          <w:rFonts w:hint="eastAsia"/>
          <w:sz w:val="24"/>
          <w:lang w:val="en-US" w:eastAsia="zh-CN"/>
        </w:rPr>
        <w:t>，“3+2”“3+4”等贯通培养项目仅限中专段在籍学生。</w:t>
      </w:r>
    </w:p>
    <w:p w14:paraId="1D4F9EE6">
      <w:pPr>
        <w:spacing w:line="360" w:lineRule="auto"/>
        <w:ind w:firstLine="480" w:firstLineChars="200"/>
        <w:rPr>
          <w:sz w:val="24"/>
        </w:rPr>
      </w:pPr>
      <w:r>
        <w:rPr>
          <w:sz w:val="24"/>
        </w:rPr>
        <w:t>4.参赛选手和指导教师确认后，原则上不再更换。因故无法参赛的，须由</w:t>
      </w:r>
      <w:r>
        <w:rPr>
          <w:rFonts w:hint="eastAsia"/>
          <w:sz w:val="24"/>
          <w:lang w:val="en-US" w:eastAsia="zh-CN"/>
        </w:rPr>
        <w:t>唐山市、</w:t>
      </w:r>
      <w:r>
        <w:rPr>
          <w:sz w:val="24"/>
        </w:rPr>
        <w:t>县级教育行政部门</w:t>
      </w:r>
      <w:r>
        <w:rPr>
          <w:rFonts w:hint="eastAsia"/>
          <w:sz w:val="24"/>
        </w:rPr>
        <w:t>(</w:t>
      </w:r>
      <w:r>
        <w:rPr>
          <w:sz w:val="24"/>
        </w:rPr>
        <w:t>或参赛学校</w:t>
      </w:r>
      <w:r>
        <w:rPr>
          <w:rFonts w:hint="eastAsia"/>
          <w:sz w:val="24"/>
        </w:rPr>
        <w:t>)</w:t>
      </w:r>
      <w:r>
        <w:rPr>
          <w:sz w:val="24"/>
        </w:rPr>
        <w:t>于开赛前 7 个工作日出具书面说明，经大赛执委会办公室批准后予以更换。</w:t>
      </w:r>
    </w:p>
    <w:p w14:paraId="128FABB5">
      <w:pPr>
        <w:spacing w:line="360" w:lineRule="auto"/>
        <w:ind w:firstLine="480" w:firstLineChars="200"/>
        <w:rPr>
          <w:sz w:val="24"/>
        </w:rPr>
      </w:pPr>
      <w:r>
        <w:rPr>
          <w:rFonts w:hint="eastAsia"/>
          <w:sz w:val="24"/>
        </w:rPr>
        <w:t>(二)</w:t>
      </w:r>
      <w:r>
        <w:rPr>
          <w:sz w:val="24"/>
        </w:rPr>
        <w:t xml:space="preserve">熟悉场地、入场规则 </w:t>
      </w:r>
    </w:p>
    <w:p w14:paraId="2CBB038A">
      <w:pPr>
        <w:spacing w:line="360" w:lineRule="auto"/>
        <w:ind w:firstLine="480" w:firstLineChars="200"/>
        <w:rPr>
          <w:sz w:val="24"/>
        </w:rPr>
      </w:pPr>
      <w:r>
        <w:rPr>
          <w:sz w:val="24"/>
        </w:rPr>
        <w:t xml:space="preserve">1.各参赛队到指定区域熟悉场地，不允许进入比赛区；严禁拥挤，喧哗，以免发生意外事故。 </w:t>
      </w:r>
    </w:p>
    <w:p w14:paraId="1D83953C">
      <w:pPr>
        <w:spacing w:line="360" w:lineRule="auto"/>
        <w:ind w:firstLine="480" w:firstLineChars="200"/>
        <w:rPr>
          <w:sz w:val="24"/>
        </w:rPr>
      </w:pPr>
      <w:r>
        <w:rPr>
          <w:sz w:val="24"/>
        </w:rPr>
        <w:t xml:space="preserve">2.参赛选手须持参赛证、身份证、经学校注册的学生证提前 10 分钟到检录区集合，经裁判核验后进入加密区。 </w:t>
      </w:r>
    </w:p>
    <w:p w14:paraId="5C00D8F1">
      <w:pPr>
        <w:spacing w:line="360" w:lineRule="auto"/>
        <w:ind w:firstLine="480" w:firstLineChars="200"/>
        <w:rPr>
          <w:sz w:val="24"/>
        </w:rPr>
      </w:pPr>
      <w:r>
        <w:rPr>
          <w:sz w:val="24"/>
        </w:rPr>
        <w:t xml:space="preserve">3.裁判对参赛选手进行一、二次加密，选手凭赛位号进入赛场；比赛开始 30 分钟后不得入场。 </w:t>
      </w:r>
    </w:p>
    <w:p w14:paraId="278F6D98">
      <w:pPr>
        <w:spacing w:line="360" w:lineRule="auto"/>
        <w:ind w:firstLine="480" w:firstLineChars="200"/>
        <w:rPr>
          <w:sz w:val="24"/>
        </w:rPr>
      </w:pPr>
      <w:r>
        <w:rPr>
          <w:rFonts w:hint="eastAsia"/>
          <w:sz w:val="24"/>
        </w:rPr>
        <w:t>(三)</w:t>
      </w:r>
      <w:r>
        <w:rPr>
          <w:sz w:val="24"/>
        </w:rPr>
        <w:t xml:space="preserve">赛场规则 </w:t>
      </w:r>
    </w:p>
    <w:p w14:paraId="446C241B">
      <w:pPr>
        <w:spacing w:line="360" w:lineRule="auto"/>
        <w:ind w:firstLine="480" w:firstLineChars="200"/>
        <w:rPr>
          <w:sz w:val="24"/>
        </w:rPr>
      </w:pPr>
      <w:r>
        <w:rPr>
          <w:sz w:val="24"/>
        </w:rPr>
        <w:t xml:space="preserve">1.比赛开始前，未经裁判同意，严禁随意触碰竞赛设施。比赛中途不得离开赛场。 </w:t>
      </w:r>
    </w:p>
    <w:p w14:paraId="03B1E904">
      <w:pPr>
        <w:spacing w:line="360" w:lineRule="auto"/>
        <w:ind w:firstLine="480" w:firstLineChars="200"/>
        <w:rPr>
          <w:sz w:val="24"/>
        </w:rPr>
      </w:pPr>
      <w:r>
        <w:rPr>
          <w:sz w:val="24"/>
        </w:rPr>
        <w:t xml:space="preserve">2.比赛过程中，参赛选手须服从裁判人员指挥和监督，严格遵守安全操作规程。 </w:t>
      </w:r>
    </w:p>
    <w:p w14:paraId="5B4503AF">
      <w:pPr>
        <w:spacing w:line="360" w:lineRule="auto"/>
        <w:ind w:firstLine="480" w:firstLineChars="200"/>
        <w:rPr>
          <w:sz w:val="24"/>
        </w:rPr>
      </w:pPr>
      <w:r>
        <w:rPr>
          <w:sz w:val="24"/>
        </w:rPr>
        <w:t xml:space="preserve">3.比赛过程中，未经裁判许可，选手不得更换设备，不得运行与比赛无关的软件，不得随意重启、关闭计算机，不得对计算机内的文件进行复制、更改、删除等操作。 </w:t>
      </w:r>
    </w:p>
    <w:p w14:paraId="01AB4A7D">
      <w:pPr>
        <w:spacing w:line="360" w:lineRule="auto"/>
        <w:ind w:firstLine="480" w:firstLineChars="200"/>
        <w:rPr>
          <w:sz w:val="24"/>
        </w:rPr>
      </w:pPr>
      <w:r>
        <w:rPr>
          <w:sz w:val="24"/>
        </w:rPr>
        <w:t xml:space="preserve">4.选手完成全部考核项目后点击提交按钮，系统自动退出。 </w:t>
      </w:r>
    </w:p>
    <w:p w14:paraId="23553ED5">
      <w:pPr>
        <w:spacing w:line="360" w:lineRule="auto"/>
        <w:ind w:firstLine="480" w:firstLineChars="200"/>
        <w:rPr>
          <w:sz w:val="24"/>
        </w:rPr>
      </w:pPr>
      <w:r>
        <w:rPr>
          <w:rFonts w:hint="eastAsia"/>
          <w:sz w:val="24"/>
        </w:rPr>
        <w:t>(四)</w:t>
      </w:r>
      <w:r>
        <w:rPr>
          <w:sz w:val="24"/>
        </w:rPr>
        <w:t xml:space="preserve">离场规则 </w:t>
      </w:r>
    </w:p>
    <w:p w14:paraId="1858254F">
      <w:pPr>
        <w:spacing w:line="360" w:lineRule="auto"/>
        <w:ind w:firstLine="480" w:firstLineChars="200"/>
        <w:rPr>
          <w:sz w:val="24"/>
        </w:rPr>
      </w:pPr>
      <w:r>
        <w:rPr>
          <w:sz w:val="24"/>
        </w:rPr>
        <w:t xml:space="preserve">裁判宣布终止比赛时，选手停止竞赛任务的操作。按照要求离开赛场或到指定场所休息，离场时不得带走现场任何物品。 </w:t>
      </w:r>
    </w:p>
    <w:p w14:paraId="089C0D76">
      <w:pPr>
        <w:spacing w:line="360" w:lineRule="auto"/>
        <w:ind w:firstLine="480" w:firstLineChars="200"/>
        <w:rPr>
          <w:sz w:val="24"/>
        </w:rPr>
      </w:pPr>
      <w:r>
        <w:rPr>
          <w:rFonts w:hint="eastAsia"/>
          <w:sz w:val="24"/>
        </w:rPr>
        <w:t>(五)</w:t>
      </w:r>
      <w:r>
        <w:rPr>
          <w:sz w:val="24"/>
        </w:rPr>
        <w:t xml:space="preserve">成绩评定规则 </w:t>
      </w:r>
    </w:p>
    <w:p w14:paraId="65BD1F76">
      <w:pPr>
        <w:spacing w:line="360" w:lineRule="auto"/>
        <w:ind w:firstLine="480" w:firstLineChars="200"/>
        <w:rPr>
          <w:sz w:val="24"/>
        </w:rPr>
      </w:pPr>
      <w:r>
        <w:rPr>
          <w:sz w:val="24"/>
        </w:rPr>
        <w:t>模块一、</w:t>
      </w:r>
      <w:r>
        <w:rPr>
          <w:rFonts w:hint="eastAsia"/>
          <w:sz w:val="24"/>
        </w:rPr>
        <w:t>模块</w:t>
      </w:r>
      <w:r>
        <w:rPr>
          <w:sz w:val="24"/>
        </w:rPr>
        <w:t>二</w:t>
      </w:r>
      <w:r>
        <w:rPr>
          <w:rFonts w:hint="eastAsia"/>
          <w:sz w:val="24"/>
        </w:rPr>
        <w:t>均</w:t>
      </w:r>
      <w:r>
        <w:rPr>
          <w:sz w:val="24"/>
        </w:rPr>
        <w:t xml:space="preserve">采用机考评分。 </w:t>
      </w:r>
    </w:p>
    <w:p w14:paraId="236CE988">
      <w:pPr>
        <w:spacing w:line="360" w:lineRule="auto"/>
        <w:ind w:right="1232"/>
        <w:rPr>
          <w:rFonts w:ascii="黑体" w:hAnsi="黑体" w:eastAsia="黑体" w:cs="宋体"/>
          <w:sz w:val="30"/>
          <w:szCs w:val="30"/>
        </w:rPr>
      </w:pPr>
      <w:r>
        <w:rPr>
          <w:rFonts w:ascii="黑体" w:hAnsi="黑体" w:eastAsia="黑体" w:cs="宋体"/>
          <w:sz w:val="30"/>
          <w:szCs w:val="30"/>
        </w:rPr>
        <w:t>七、</w:t>
      </w:r>
      <w:r>
        <w:rPr>
          <w:rFonts w:hint="eastAsia" w:ascii="黑体" w:hAnsi="黑体" w:eastAsia="黑体" w:cs="宋体"/>
          <w:sz w:val="30"/>
          <w:szCs w:val="30"/>
        </w:rPr>
        <w:t>比赛</w:t>
      </w:r>
      <w:r>
        <w:rPr>
          <w:rFonts w:ascii="黑体" w:hAnsi="黑体" w:eastAsia="黑体" w:cs="宋体"/>
          <w:sz w:val="30"/>
          <w:szCs w:val="30"/>
        </w:rPr>
        <w:t>环境</w:t>
      </w:r>
    </w:p>
    <w:p w14:paraId="2447BCF5">
      <w:pPr>
        <w:spacing w:line="360" w:lineRule="auto"/>
        <w:ind w:firstLine="480" w:firstLineChars="200"/>
        <w:rPr>
          <w:sz w:val="24"/>
        </w:rPr>
      </w:pPr>
      <w:r>
        <w:rPr>
          <w:rFonts w:hint="eastAsia"/>
          <w:sz w:val="24"/>
        </w:rPr>
        <w:t>比赛</w:t>
      </w:r>
      <w:r>
        <w:rPr>
          <w:sz w:val="24"/>
        </w:rPr>
        <w:t>场地平整、明亮、通风良好，净高不低于3m。同时，提供与</w:t>
      </w:r>
      <w:r>
        <w:rPr>
          <w:rFonts w:hint="eastAsia"/>
          <w:sz w:val="24"/>
        </w:rPr>
        <w:t>比赛</w:t>
      </w:r>
      <w:r>
        <w:rPr>
          <w:sz w:val="24"/>
        </w:rPr>
        <w:t>现场空间相关联的专家、裁判工作室、技术支持团队及配件备件准备室、指导教师休息区等。</w:t>
      </w:r>
    </w:p>
    <w:p w14:paraId="6F28BF78">
      <w:pPr>
        <w:spacing w:line="360" w:lineRule="auto"/>
        <w:ind w:firstLine="480" w:firstLineChars="200"/>
        <w:rPr>
          <w:sz w:val="24"/>
        </w:rPr>
      </w:pPr>
      <w:r>
        <w:rPr>
          <w:sz w:val="24"/>
        </w:rPr>
        <w:t xml:space="preserve">(一)模块一环境 </w:t>
      </w:r>
    </w:p>
    <w:p w14:paraId="09464ED7">
      <w:pPr>
        <w:spacing w:line="360" w:lineRule="auto"/>
        <w:ind w:firstLine="480" w:firstLineChars="200"/>
        <w:rPr>
          <w:sz w:val="24"/>
        </w:rPr>
      </w:pPr>
      <w:r>
        <w:rPr>
          <w:sz w:val="24"/>
        </w:rPr>
        <w:t>1.赛场配备 220V 单相三线的交流电源，供电系统有必要的安全保护措施，提供独立的电源保护装置和安全保护措施。</w:t>
      </w:r>
    </w:p>
    <w:p w14:paraId="694B457A">
      <w:pPr>
        <w:spacing w:line="360" w:lineRule="auto"/>
        <w:ind w:firstLine="480" w:firstLineChars="200"/>
        <w:rPr>
          <w:sz w:val="24"/>
        </w:rPr>
      </w:pPr>
      <w:r>
        <w:rPr>
          <w:sz w:val="24"/>
        </w:rPr>
        <w:t>2.竞赛赛位：房间不少于4</w:t>
      </w:r>
      <w:r>
        <w:rPr>
          <w:rFonts w:hint="eastAsia"/>
          <w:sz w:val="24"/>
        </w:rPr>
        <w:t>4</w:t>
      </w:r>
      <w:r>
        <w:rPr>
          <w:sz w:val="24"/>
        </w:rPr>
        <w:t>台计算机，其中</w:t>
      </w:r>
      <w:r>
        <w:rPr>
          <w:rFonts w:hint="eastAsia"/>
          <w:sz w:val="24"/>
        </w:rPr>
        <w:t>4</w:t>
      </w:r>
      <w:r>
        <w:rPr>
          <w:sz w:val="24"/>
        </w:rPr>
        <w:t>台为备用机器。每个赛位准备桌子 1 张、凳子 1 张，电脑 2 台。</w:t>
      </w:r>
    </w:p>
    <w:p w14:paraId="07B53C14">
      <w:pPr>
        <w:spacing w:line="360" w:lineRule="auto"/>
        <w:ind w:firstLine="480" w:firstLineChars="200"/>
        <w:rPr>
          <w:sz w:val="24"/>
        </w:rPr>
      </w:pPr>
      <w:r>
        <w:rPr>
          <w:sz w:val="24"/>
        </w:rPr>
        <w:t xml:space="preserve">3.计算机硬件配置要求：i3 十代以上 CPU，8G 以上内存，19 寸以上 LED 显示器，500G 以上硬盘，虚拟界面计算机要求独立显卡 2G 以上显存，具有良好的可靠性、通用性和兼容性。 </w:t>
      </w:r>
    </w:p>
    <w:p w14:paraId="4ECE8E2D">
      <w:pPr>
        <w:spacing w:line="360" w:lineRule="auto"/>
        <w:ind w:firstLine="480" w:firstLineChars="200"/>
        <w:rPr>
          <w:sz w:val="24"/>
        </w:rPr>
      </w:pPr>
      <w:r>
        <w:rPr>
          <w:sz w:val="24"/>
        </w:rPr>
        <w:t xml:space="preserve">4.计算机操作系统：可采用 32 位 windows7、32 位windows10、64 位 windows7、64 位 windows10。 </w:t>
      </w:r>
    </w:p>
    <w:p w14:paraId="6531360D">
      <w:pPr>
        <w:spacing w:line="360" w:lineRule="auto"/>
        <w:ind w:firstLine="480" w:firstLineChars="200"/>
        <w:rPr>
          <w:sz w:val="24"/>
        </w:rPr>
      </w:pPr>
      <w:r>
        <w:rPr>
          <w:sz w:val="24"/>
        </w:rPr>
        <w:t>5.比赛系统</w:t>
      </w:r>
      <w:r>
        <w:rPr>
          <w:rFonts w:hint="eastAsia"/>
          <w:sz w:val="24"/>
        </w:rPr>
        <w:t>由山东星科智能科技股份有限公司提供</w:t>
      </w:r>
      <w:r>
        <w:rPr>
          <w:sz w:val="24"/>
        </w:rPr>
        <w:t xml:space="preserve">：转炉炼钢仿真系统。 </w:t>
      </w:r>
    </w:p>
    <w:p w14:paraId="2BF38B88">
      <w:pPr>
        <w:spacing w:line="360" w:lineRule="auto"/>
        <w:ind w:firstLine="480" w:firstLineChars="200"/>
        <w:rPr>
          <w:sz w:val="24"/>
        </w:rPr>
      </w:pPr>
      <w:r>
        <w:rPr>
          <w:sz w:val="24"/>
        </w:rPr>
        <w:t xml:space="preserve">(二)模块二环境 </w:t>
      </w:r>
    </w:p>
    <w:p w14:paraId="393CAF15">
      <w:pPr>
        <w:spacing w:line="360" w:lineRule="auto"/>
        <w:ind w:firstLine="480" w:firstLineChars="200"/>
        <w:rPr>
          <w:sz w:val="24"/>
        </w:rPr>
      </w:pPr>
      <w:r>
        <w:rPr>
          <w:sz w:val="24"/>
        </w:rPr>
        <w:t xml:space="preserve">1.赛场配备 220V 单相三线的交流电源，供电系统有必要的安全保护措施，提供独立的电源保护装置和安全保护措施。 </w:t>
      </w:r>
    </w:p>
    <w:p w14:paraId="681587D3">
      <w:pPr>
        <w:spacing w:line="360" w:lineRule="auto"/>
        <w:ind w:firstLine="480" w:firstLineChars="200"/>
        <w:rPr>
          <w:sz w:val="24"/>
        </w:rPr>
      </w:pPr>
      <w:r>
        <w:rPr>
          <w:rFonts w:hint="eastAsia" w:ascii="宋体" w:hAnsi="宋体" w:cs="宋体"/>
          <w:sz w:val="24"/>
        </w:rPr>
        <w:t>2.竞赛赛位</w:t>
      </w:r>
      <w:r>
        <w:t>：</w:t>
      </w:r>
      <w:r>
        <w:rPr>
          <w:sz w:val="24"/>
        </w:rPr>
        <w:t>房间不少于4</w:t>
      </w:r>
      <w:r>
        <w:rPr>
          <w:rFonts w:hint="eastAsia"/>
          <w:sz w:val="24"/>
        </w:rPr>
        <w:t>4</w:t>
      </w:r>
      <w:r>
        <w:rPr>
          <w:sz w:val="24"/>
        </w:rPr>
        <w:t xml:space="preserve"> 台计算机，其中 </w:t>
      </w:r>
      <w:r>
        <w:rPr>
          <w:rFonts w:hint="eastAsia"/>
          <w:sz w:val="24"/>
        </w:rPr>
        <w:t>4</w:t>
      </w:r>
      <w:r>
        <w:rPr>
          <w:sz w:val="24"/>
        </w:rPr>
        <w:t xml:space="preserve"> 台为备用机器。每个赛位准备桌子 1 张、凳子 1 张，电脑 1台。</w:t>
      </w:r>
    </w:p>
    <w:p w14:paraId="1D08A9A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3.比赛系统由山东星科智能科技股份有限公司提供：考试信息化管理平台系统</w:t>
      </w:r>
      <w:r>
        <w:rPr>
          <w:rFonts w:hint="eastAsia" w:ascii="宋体" w:hAnsi="宋体" w:cs="宋体"/>
          <w:sz w:val="24"/>
          <w:lang w:eastAsia="zh-CN"/>
        </w:rPr>
        <w:t>。</w:t>
      </w:r>
    </w:p>
    <w:p w14:paraId="7060689E">
      <w:pPr>
        <w:spacing w:line="360" w:lineRule="auto"/>
        <w:ind w:right="1232"/>
        <w:rPr>
          <w:rFonts w:ascii="黑体" w:hAnsi="黑体" w:eastAsia="黑体" w:cs="宋体"/>
          <w:sz w:val="30"/>
          <w:szCs w:val="30"/>
        </w:rPr>
      </w:pPr>
      <w:r>
        <w:rPr>
          <w:rFonts w:hint="eastAsia" w:ascii="黑体" w:hAnsi="黑体" w:eastAsia="黑体" w:cs="宋体"/>
          <w:sz w:val="30"/>
          <w:szCs w:val="30"/>
        </w:rPr>
        <w:t>八、评分方法</w:t>
      </w:r>
    </w:p>
    <w:p w14:paraId="3D9A5B27">
      <w:pPr>
        <w:spacing w:line="360" w:lineRule="auto"/>
        <w:ind w:firstLine="480" w:firstLineChars="200"/>
        <w:rPr>
          <w:sz w:val="24"/>
        </w:rPr>
      </w:pPr>
      <w:r>
        <w:rPr>
          <w:sz w:val="24"/>
        </w:rPr>
        <w:t>大赛评分由软件系统</w:t>
      </w:r>
      <w:r>
        <w:rPr>
          <w:rFonts w:hint="eastAsia"/>
          <w:sz w:val="24"/>
        </w:rPr>
        <w:t>自动评分</w:t>
      </w:r>
      <w:r>
        <w:rPr>
          <w:sz w:val="24"/>
        </w:rPr>
        <w:t>完成。</w:t>
      </w:r>
    </w:p>
    <w:p w14:paraId="65A7B46B">
      <w:pPr>
        <w:spacing w:line="360" w:lineRule="auto"/>
        <w:ind w:firstLine="480" w:firstLineChars="200"/>
        <w:rPr>
          <w:sz w:val="24"/>
        </w:rPr>
      </w:pPr>
      <w:r>
        <w:rPr>
          <w:sz w:val="24"/>
        </w:rPr>
        <w:t>(一)模块一</w:t>
      </w:r>
      <w:r>
        <w:rPr>
          <w:rFonts w:hint="eastAsia"/>
          <w:sz w:val="24"/>
        </w:rPr>
        <w:t>(</w:t>
      </w:r>
      <w:r>
        <w:rPr>
          <w:sz w:val="24"/>
        </w:rPr>
        <w:t>钢铁智能生产</w:t>
      </w:r>
      <w:r>
        <w:rPr>
          <w:rFonts w:hint="eastAsia"/>
          <w:sz w:val="24"/>
        </w:rPr>
        <w:t>)</w:t>
      </w:r>
      <w:r>
        <w:rPr>
          <w:sz w:val="24"/>
        </w:rPr>
        <w:t xml:space="preserve"> </w:t>
      </w:r>
    </w:p>
    <w:p w14:paraId="6DC1511F">
      <w:pPr>
        <w:spacing w:line="360" w:lineRule="auto"/>
        <w:ind w:firstLine="480" w:firstLineChars="200"/>
        <w:rPr>
          <w:sz w:val="24"/>
        </w:rPr>
      </w:pPr>
      <w:r>
        <w:rPr>
          <w:sz w:val="24"/>
        </w:rPr>
        <w:t>安全操作知识内容、过程控制、异常工况的处置、操作步骤、终点成分和温度、脱氧合金化、操作合理性部分由系统自动生成分数；成本核算、生产效率部分根据报表由计算机自动进行计算得分</w:t>
      </w:r>
      <w:r>
        <w:rPr>
          <w:rFonts w:hint="eastAsia"/>
          <w:sz w:val="24"/>
          <w:lang w:eastAsia="zh-CN"/>
        </w:rPr>
        <w:t>，</w:t>
      </w:r>
      <w:r>
        <w:rPr>
          <w:sz w:val="24"/>
        </w:rPr>
        <w:t>由</w:t>
      </w:r>
      <w:r>
        <w:rPr>
          <w:rFonts w:hint="eastAsia"/>
          <w:sz w:val="24"/>
          <w:lang w:val="en-US" w:eastAsia="zh-CN"/>
        </w:rPr>
        <w:t>裁判评分</w:t>
      </w:r>
      <w:r>
        <w:rPr>
          <w:sz w:val="24"/>
        </w:rPr>
        <w:t xml:space="preserve">。 </w:t>
      </w:r>
    </w:p>
    <w:p w14:paraId="2C5213D0">
      <w:pPr>
        <w:spacing w:line="360" w:lineRule="auto"/>
        <w:ind w:firstLine="480" w:firstLineChars="200"/>
        <w:rPr>
          <w:sz w:val="24"/>
        </w:rPr>
      </w:pPr>
      <w:r>
        <w:rPr>
          <w:sz w:val="24"/>
        </w:rPr>
        <w:t>(二)模块二</w:t>
      </w:r>
      <w:r>
        <w:rPr>
          <w:rFonts w:hint="eastAsia"/>
          <w:sz w:val="24"/>
        </w:rPr>
        <w:t>(</w:t>
      </w:r>
      <w:r>
        <w:rPr>
          <w:sz w:val="24"/>
        </w:rPr>
        <w:t>新材料知识与技能</w:t>
      </w:r>
      <w:r>
        <w:rPr>
          <w:rFonts w:hint="eastAsia"/>
          <w:sz w:val="24"/>
        </w:rPr>
        <w:t>)</w:t>
      </w:r>
      <w:r>
        <w:rPr>
          <w:sz w:val="24"/>
        </w:rPr>
        <w:t>由</w:t>
      </w:r>
      <w:r>
        <w:rPr>
          <w:rFonts w:hint="eastAsia"/>
          <w:sz w:val="24"/>
        </w:rPr>
        <w:t>夏蕾网络学生信息化在线考试系统</w:t>
      </w:r>
      <w:r>
        <w:rPr>
          <w:sz w:val="24"/>
        </w:rPr>
        <w:t xml:space="preserve">自动生成分数。 </w:t>
      </w:r>
    </w:p>
    <w:p w14:paraId="63CEEEA6">
      <w:pPr>
        <w:spacing w:line="360" w:lineRule="auto"/>
        <w:ind w:firstLine="480" w:firstLineChars="200"/>
        <w:rPr>
          <w:sz w:val="24"/>
        </w:rPr>
      </w:pPr>
      <w:r>
        <w:rPr>
          <w:sz w:val="24"/>
        </w:rPr>
        <w:t>竞赛总分为 100 分。各参赛队的最终得分为以上</w:t>
      </w:r>
      <w:r>
        <w:rPr>
          <w:rFonts w:hint="eastAsia"/>
          <w:sz w:val="24"/>
        </w:rPr>
        <w:t>两</w:t>
      </w:r>
      <w:r>
        <w:rPr>
          <w:sz w:val="24"/>
        </w:rPr>
        <w:t xml:space="preserve">部分实际得分按比例计算结果之和。 </w:t>
      </w:r>
    </w:p>
    <w:p w14:paraId="14A63937">
      <w:pPr>
        <w:spacing w:line="360" w:lineRule="auto"/>
        <w:ind w:firstLine="480" w:firstLineChars="200"/>
        <w:rPr>
          <w:sz w:val="24"/>
        </w:rPr>
      </w:pPr>
      <w:r>
        <w:rPr>
          <w:sz w:val="24"/>
        </w:rPr>
        <w:t xml:space="preserve">(四)评分标准 </w:t>
      </w:r>
    </w:p>
    <w:p w14:paraId="47ED9D77">
      <w:pPr>
        <w:spacing w:line="360" w:lineRule="auto"/>
        <w:ind w:firstLine="480" w:firstLineChars="200"/>
        <w:rPr>
          <w:sz w:val="24"/>
        </w:rPr>
      </w:pPr>
      <w:r>
        <w:rPr>
          <w:sz w:val="24"/>
        </w:rPr>
        <w:t>依据参赛选手完成的情况实施综合评定。评定依据结合国家及行业的相关标准和规范，全面评价参赛选手职业能力的要求，本着“科学严谨、公正公平、可操作性强”的原则制定评分标准。模块一评分方式采用计算机自动评分</w:t>
      </w:r>
      <w:r>
        <w:rPr>
          <w:rFonts w:hint="eastAsia"/>
          <w:sz w:val="24"/>
        </w:rPr>
        <w:t>(</w:t>
      </w:r>
      <w:r>
        <w:rPr>
          <w:sz w:val="24"/>
        </w:rPr>
        <w:t>为杜绝为赛而赛，所有违背冶金工艺原理、与现场实际生产操作不相符的参数输入、操作视为无效，并扣除相应所得分值</w:t>
      </w:r>
      <w:r>
        <w:rPr>
          <w:rFonts w:hint="eastAsia"/>
          <w:sz w:val="24"/>
        </w:rPr>
        <w:t>)</w:t>
      </w:r>
      <w:r>
        <w:rPr>
          <w:sz w:val="24"/>
        </w:rPr>
        <w:t xml:space="preserve">；模块二为机考自动评分。裁判在本场比赛结束后，调取、打印选手考核报表，进行综合评议，审定系统评分。选手系统参考分数相同时，以操作过程、数据与生产现场相符为依据，符合生产实际、经济数据指标最优者排名靠前。 </w:t>
      </w:r>
    </w:p>
    <w:p w14:paraId="01BEB7B3">
      <w:pPr>
        <w:spacing w:line="360" w:lineRule="auto"/>
        <w:ind w:firstLine="480" w:firstLineChars="200"/>
        <w:rPr>
          <w:sz w:val="24"/>
        </w:rPr>
      </w:pPr>
      <w:r>
        <w:rPr>
          <w:sz w:val="24"/>
        </w:rPr>
        <w:t xml:space="preserve">1.钢铁智能生产评分主要内容为安全操作知识、工艺技术经济指标的调节与控制、随机故障的处置，转炉炼钢正常炉次仿真操作和转炉炼钢指定异常炉次仿真操作评分标准相同。 </w:t>
      </w:r>
    </w:p>
    <w:p w14:paraId="0C99FCDC">
      <w:pPr>
        <w:spacing w:line="259" w:lineRule="auto"/>
        <w:ind w:left="255" w:right="559"/>
        <w:jc w:val="center"/>
        <w:rPr>
          <w:sz w:val="24"/>
        </w:rPr>
      </w:pPr>
      <w:r>
        <w:rPr>
          <w:sz w:val="24"/>
        </w:rPr>
        <w:t xml:space="preserve">表4 钢铁智能生产模块评分标准 </w:t>
      </w:r>
    </w:p>
    <w:tbl>
      <w:tblPr>
        <w:tblStyle w:val="4"/>
        <w:tblW w:w="8382"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41" w:type="dxa"/>
          <w:left w:w="108" w:type="dxa"/>
          <w:bottom w:w="0" w:type="dxa"/>
          <w:right w:w="0" w:type="dxa"/>
        </w:tblCellMar>
      </w:tblPr>
      <w:tblGrid>
        <w:gridCol w:w="709"/>
        <w:gridCol w:w="1696"/>
        <w:gridCol w:w="2400"/>
        <w:gridCol w:w="3577"/>
      </w:tblGrid>
      <w:tr w14:paraId="030EE1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679" w:hRule="atLeast"/>
        </w:trPr>
        <w:tc>
          <w:tcPr>
            <w:tcW w:w="709" w:type="dxa"/>
            <w:tcBorders>
              <w:bottom w:val="single" w:color="000000" w:sz="4" w:space="0"/>
              <w:right w:val="single" w:color="000000" w:sz="4" w:space="0"/>
            </w:tcBorders>
            <w:shd w:val="clear" w:color="auto" w:fill="auto"/>
            <w:vAlign w:val="center"/>
          </w:tcPr>
          <w:p w14:paraId="0A864B8F">
            <w:pPr>
              <w:spacing w:line="259" w:lineRule="auto"/>
              <w:ind w:left="65"/>
              <w:rPr>
                <w:sz w:val="24"/>
              </w:rPr>
            </w:pPr>
            <w:r>
              <w:rPr>
                <w:sz w:val="24"/>
              </w:rPr>
              <w:t xml:space="preserve">项目 </w:t>
            </w:r>
          </w:p>
        </w:tc>
        <w:tc>
          <w:tcPr>
            <w:tcW w:w="1696" w:type="dxa"/>
            <w:tcBorders>
              <w:left w:val="single" w:color="000000" w:sz="4" w:space="0"/>
              <w:bottom w:val="single" w:color="000000" w:sz="4" w:space="0"/>
              <w:right w:val="single" w:color="000000" w:sz="4" w:space="0"/>
            </w:tcBorders>
            <w:shd w:val="clear" w:color="auto" w:fill="auto"/>
          </w:tcPr>
          <w:p w14:paraId="5D0D69EE">
            <w:pPr>
              <w:spacing w:line="259" w:lineRule="auto"/>
              <w:ind w:left="43" w:right="92"/>
              <w:jc w:val="center"/>
              <w:rPr>
                <w:sz w:val="24"/>
              </w:rPr>
            </w:pPr>
            <w:r>
              <w:rPr>
                <w:sz w:val="24"/>
              </w:rPr>
              <w:t xml:space="preserve">内容及评分 </w:t>
            </w:r>
          </w:p>
        </w:tc>
        <w:tc>
          <w:tcPr>
            <w:tcW w:w="2400" w:type="dxa"/>
            <w:tcBorders>
              <w:left w:val="single" w:color="000000" w:sz="4" w:space="0"/>
              <w:bottom w:val="single" w:color="000000" w:sz="4" w:space="0"/>
              <w:right w:val="single" w:color="000000" w:sz="4" w:space="0"/>
            </w:tcBorders>
            <w:shd w:val="clear" w:color="auto" w:fill="auto"/>
            <w:vAlign w:val="center"/>
          </w:tcPr>
          <w:p w14:paraId="66A5BADC">
            <w:pPr>
              <w:spacing w:line="259" w:lineRule="auto"/>
              <w:ind w:right="108"/>
              <w:jc w:val="center"/>
              <w:rPr>
                <w:sz w:val="24"/>
              </w:rPr>
            </w:pPr>
            <w:r>
              <w:rPr>
                <w:sz w:val="24"/>
              </w:rPr>
              <w:t xml:space="preserve">说明 </w:t>
            </w:r>
          </w:p>
        </w:tc>
        <w:tc>
          <w:tcPr>
            <w:tcW w:w="3577" w:type="dxa"/>
            <w:tcBorders>
              <w:left w:val="single" w:color="000000" w:sz="4" w:space="0"/>
              <w:bottom w:val="single" w:color="000000" w:sz="4" w:space="0"/>
            </w:tcBorders>
            <w:shd w:val="clear" w:color="auto" w:fill="auto"/>
            <w:vAlign w:val="center"/>
          </w:tcPr>
          <w:p w14:paraId="7EFE7657">
            <w:pPr>
              <w:spacing w:line="259" w:lineRule="auto"/>
              <w:ind w:right="108"/>
              <w:jc w:val="center"/>
              <w:rPr>
                <w:sz w:val="24"/>
              </w:rPr>
            </w:pPr>
            <w:r>
              <w:rPr>
                <w:sz w:val="24"/>
              </w:rPr>
              <w:t xml:space="preserve">扣分项 </w:t>
            </w:r>
          </w:p>
        </w:tc>
      </w:tr>
      <w:tr w14:paraId="21E412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1006" w:hRule="atLeast"/>
        </w:trPr>
        <w:tc>
          <w:tcPr>
            <w:tcW w:w="709" w:type="dxa"/>
            <w:tcBorders>
              <w:top w:val="single" w:color="000000" w:sz="4" w:space="0"/>
              <w:bottom w:val="single" w:color="000000" w:sz="4" w:space="0"/>
              <w:right w:val="single" w:color="000000" w:sz="4" w:space="0"/>
            </w:tcBorders>
            <w:shd w:val="clear" w:color="auto" w:fill="auto"/>
          </w:tcPr>
          <w:p w14:paraId="6CEB6D03">
            <w:pPr>
              <w:spacing w:line="259" w:lineRule="auto"/>
              <w:jc w:val="left"/>
              <w:rPr>
                <w:sz w:val="24"/>
              </w:rPr>
            </w:pPr>
            <w:r>
              <w:rPr>
                <w:sz w:val="24"/>
              </w:rPr>
              <w:t xml:space="preserve">安全操作确认 </w:t>
            </w:r>
          </w:p>
        </w:tc>
        <w:tc>
          <w:tcPr>
            <w:tcW w:w="1696" w:type="dxa"/>
            <w:tcBorders>
              <w:top w:val="single" w:color="000000" w:sz="4" w:space="0"/>
              <w:left w:val="single" w:color="000000" w:sz="4" w:space="0"/>
              <w:bottom w:val="single" w:color="000000" w:sz="4" w:space="0"/>
              <w:right w:val="single" w:color="000000" w:sz="4" w:space="0"/>
            </w:tcBorders>
            <w:shd w:val="clear" w:color="auto" w:fill="auto"/>
          </w:tcPr>
          <w:p w14:paraId="1EC1F871">
            <w:pPr>
              <w:spacing w:after="24" w:line="243" w:lineRule="auto"/>
              <w:rPr>
                <w:sz w:val="24"/>
              </w:rPr>
            </w:pPr>
            <w:r>
              <w:rPr>
                <w:sz w:val="24"/>
              </w:rPr>
              <w:t xml:space="preserve">设备仪器确认 </w:t>
            </w:r>
          </w:p>
          <w:p w14:paraId="1264C445">
            <w:pPr>
              <w:spacing w:line="259" w:lineRule="auto"/>
              <w:rPr>
                <w:sz w:val="24"/>
              </w:rPr>
            </w:pPr>
            <w:r>
              <w:rPr>
                <w:rFonts w:hint="eastAsia"/>
                <w:sz w:val="24"/>
              </w:rPr>
              <w:t>(</w:t>
            </w:r>
            <w:r>
              <w:rPr>
                <w:sz w:val="24"/>
              </w:rPr>
              <w:t>5分</w:t>
            </w:r>
            <w:r>
              <w:rPr>
                <w:rFonts w:hint="eastAsia"/>
                <w:sz w:val="24"/>
              </w:rPr>
              <w:t>)</w:t>
            </w:r>
            <w:r>
              <w:rPr>
                <w:sz w:val="24"/>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tcPr>
          <w:p w14:paraId="3ECA4DE7">
            <w:pPr>
              <w:spacing w:line="259" w:lineRule="auto"/>
              <w:rPr>
                <w:sz w:val="24"/>
              </w:rPr>
            </w:pPr>
            <w:r>
              <w:rPr>
                <w:sz w:val="24"/>
              </w:rPr>
              <w:t>转炉位置、称量、加料等设备到位情况</w:t>
            </w:r>
            <w:r>
              <w:rPr>
                <w:rFonts w:hint="eastAsia"/>
                <w:sz w:val="24"/>
              </w:rPr>
              <w:t>(</w:t>
            </w:r>
            <w:r>
              <w:rPr>
                <w:sz w:val="24"/>
              </w:rPr>
              <w:t>5 分</w:t>
            </w:r>
            <w:r>
              <w:rPr>
                <w:rFonts w:hint="eastAsia"/>
                <w:sz w:val="24"/>
              </w:rPr>
              <w:t>)</w:t>
            </w:r>
            <w:r>
              <w:rPr>
                <w:sz w:val="24"/>
              </w:rPr>
              <w:t xml:space="preserve"> </w:t>
            </w:r>
          </w:p>
        </w:tc>
        <w:tc>
          <w:tcPr>
            <w:tcW w:w="3577" w:type="dxa"/>
            <w:tcBorders>
              <w:top w:val="single" w:color="000000" w:sz="4" w:space="0"/>
              <w:left w:val="single" w:color="000000" w:sz="4" w:space="0"/>
              <w:bottom w:val="single" w:color="000000" w:sz="4" w:space="0"/>
            </w:tcBorders>
            <w:shd w:val="clear" w:color="auto" w:fill="auto"/>
            <w:vAlign w:val="center"/>
          </w:tcPr>
          <w:p w14:paraId="721B71A7">
            <w:pPr>
              <w:spacing w:line="259" w:lineRule="auto"/>
              <w:rPr>
                <w:sz w:val="24"/>
              </w:rPr>
            </w:pPr>
            <w:r>
              <w:rPr>
                <w:sz w:val="24"/>
              </w:rPr>
              <w:t xml:space="preserve">未进行确认者，扣 1 分/项 </w:t>
            </w:r>
          </w:p>
        </w:tc>
      </w:tr>
      <w:tr w14:paraId="2469843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1654" w:hRule="atLeast"/>
        </w:trPr>
        <w:tc>
          <w:tcPr>
            <w:tcW w:w="709" w:type="dxa"/>
            <w:vMerge w:val="restart"/>
            <w:tcBorders>
              <w:top w:val="single" w:color="000000" w:sz="4" w:space="0"/>
              <w:bottom w:val="single" w:color="000000" w:sz="4" w:space="0"/>
              <w:right w:val="single" w:color="000000" w:sz="4" w:space="0"/>
            </w:tcBorders>
            <w:shd w:val="clear" w:color="auto" w:fill="auto"/>
            <w:vAlign w:val="center"/>
          </w:tcPr>
          <w:p w14:paraId="45AA4608">
            <w:pPr>
              <w:spacing w:line="259" w:lineRule="auto"/>
              <w:jc w:val="left"/>
              <w:rPr>
                <w:sz w:val="24"/>
              </w:rPr>
            </w:pPr>
            <w:r>
              <w:rPr>
                <w:sz w:val="24"/>
              </w:rPr>
              <w:t xml:space="preserve">炼钢过程控制 </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8191">
            <w:pPr>
              <w:spacing w:line="259" w:lineRule="auto"/>
              <w:rPr>
                <w:sz w:val="24"/>
              </w:rPr>
            </w:pPr>
            <w:r>
              <w:rPr>
                <w:sz w:val="24"/>
              </w:rPr>
              <w:t>操作流程</w:t>
            </w:r>
          </w:p>
          <w:p w14:paraId="2870574B">
            <w:pPr>
              <w:spacing w:line="259" w:lineRule="auto"/>
              <w:rPr>
                <w:sz w:val="24"/>
              </w:rPr>
            </w:pPr>
            <w:r>
              <w:rPr>
                <w:rFonts w:hint="eastAsia"/>
                <w:sz w:val="24"/>
              </w:rPr>
              <w:t>(</w:t>
            </w:r>
            <w:r>
              <w:rPr>
                <w:sz w:val="24"/>
              </w:rPr>
              <w:t>15分</w:t>
            </w:r>
            <w:r>
              <w:rPr>
                <w:rFonts w:hint="eastAsia"/>
                <w:sz w:val="24"/>
              </w:rPr>
              <w:t>)</w:t>
            </w:r>
            <w:r>
              <w:rPr>
                <w:sz w:val="24"/>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tcPr>
          <w:p w14:paraId="78D193E3">
            <w:pPr>
              <w:spacing w:line="259" w:lineRule="auto"/>
              <w:ind w:right="-12"/>
              <w:rPr>
                <w:sz w:val="24"/>
              </w:rPr>
            </w:pPr>
            <w:r>
              <w:rPr>
                <w:sz w:val="24"/>
              </w:rPr>
              <w:t>废钢、铁水的装入、关挡火门、降烟罩、吹炼、升烟罩、开挡火门、吹炼结束等</w:t>
            </w:r>
          </w:p>
          <w:p w14:paraId="1B235BC9">
            <w:pPr>
              <w:spacing w:line="259" w:lineRule="auto"/>
              <w:ind w:right="-12"/>
              <w:rPr>
                <w:sz w:val="24"/>
              </w:rPr>
            </w:pPr>
            <w:r>
              <w:rPr>
                <w:rFonts w:hint="eastAsia"/>
                <w:sz w:val="24"/>
              </w:rPr>
              <w:t>(</w:t>
            </w:r>
            <w:r>
              <w:rPr>
                <w:sz w:val="24"/>
              </w:rPr>
              <w:t>15 分</w:t>
            </w:r>
            <w:r>
              <w:rPr>
                <w:rFonts w:hint="eastAsia"/>
                <w:sz w:val="24"/>
              </w:rPr>
              <w:t>)</w:t>
            </w:r>
            <w:r>
              <w:rPr>
                <w:sz w:val="24"/>
              </w:rPr>
              <w:t xml:space="preserve"> </w:t>
            </w:r>
          </w:p>
        </w:tc>
        <w:tc>
          <w:tcPr>
            <w:tcW w:w="3577" w:type="dxa"/>
            <w:tcBorders>
              <w:top w:val="single" w:color="000000" w:sz="4" w:space="0"/>
              <w:left w:val="single" w:color="000000" w:sz="4" w:space="0"/>
              <w:bottom w:val="single" w:color="000000" w:sz="4" w:space="0"/>
            </w:tcBorders>
            <w:shd w:val="clear" w:color="auto" w:fill="auto"/>
            <w:vAlign w:val="center"/>
          </w:tcPr>
          <w:p w14:paraId="3684EC49">
            <w:pPr>
              <w:spacing w:line="259" w:lineRule="auto"/>
              <w:rPr>
                <w:sz w:val="24"/>
              </w:rPr>
            </w:pPr>
            <w:r>
              <w:rPr>
                <w:sz w:val="24"/>
              </w:rPr>
              <w:t>每错误 1 项</w:t>
            </w:r>
            <w:r>
              <w:rPr>
                <w:rFonts w:hint="eastAsia"/>
                <w:sz w:val="24"/>
              </w:rPr>
              <w:t>(</w:t>
            </w:r>
            <w:r>
              <w:rPr>
                <w:sz w:val="24"/>
              </w:rPr>
              <w:t>次</w:t>
            </w:r>
            <w:r>
              <w:rPr>
                <w:rFonts w:hint="eastAsia"/>
                <w:sz w:val="24"/>
              </w:rPr>
              <w:t>)</w:t>
            </w:r>
            <w:r>
              <w:rPr>
                <w:sz w:val="24"/>
              </w:rPr>
              <w:t xml:space="preserve">扣 1 分，扣完为止 </w:t>
            </w:r>
          </w:p>
        </w:tc>
      </w:tr>
      <w:tr w14:paraId="504800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1003" w:hRule="atLeast"/>
        </w:trPr>
        <w:tc>
          <w:tcPr>
            <w:tcW w:w="709" w:type="dxa"/>
            <w:vMerge w:val="continue"/>
            <w:tcBorders>
              <w:top w:val="nil"/>
              <w:bottom w:val="nil"/>
              <w:right w:val="single" w:color="000000" w:sz="4" w:space="0"/>
            </w:tcBorders>
            <w:shd w:val="clear" w:color="auto" w:fill="auto"/>
          </w:tcPr>
          <w:p w14:paraId="7F00ECD7">
            <w:pPr>
              <w:spacing w:after="160" w:line="259" w:lineRule="auto"/>
              <w:jc w:val="left"/>
              <w:rPr>
                <w:sz w:val="24"/>
              </w:rPr>
            </w:pP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AF847">
            <w:pPr>
              <w:spacing w:after="24" w:line="245" w:lineRule="auto"/>
              <w:rPr>
                <w:spacing w:val="-17"/>
                <w:sz w:val="24"/>
              </w:rPr>
            </w:pPr>
            <w:r>
              <w:rPr>
                <w:spacing w:val="-17"/>
                <w:sz w:val="24"/>
              </w:rPr>
              <w:t xml:space="preserve">参数与技能控制 </w:t>
            </w:r>
          </w:p>
          <w:p w14:paraId="2B63A585">
            <w:pPr>
              <w:spacing w:line="259" w:lineRule="auto"/>
              <w:rPr>
                <w:sz w:val="24"/>
              </w:rPr>
            </w:pPr>
            <w:r>
              <w:rPr>
                <w:rFonts w:hint="eastAsia"/>
                <w:sz w:val="24"/>
              </w:rPr>
              <w:t>(</w:t>
            </w:r>
            <w:r>
              <w:rPr>
                <w:sz w:val="24"/>
              </w:rPr>
              <w:t>20分</w:t>
            </w:r>
            <w:r>
              <w:rPr>
                <w:rFonts w:hint="eastAsia"/>
                <w:sz w:val="24"/>
              </w:rPr>
              <w:t>)</w:t>
            </w:r>
            <w:r>
              <w:rPr>
                <w:sz w:val="24"/>
              </w:rPr>
              <w:t xml:space="preserve"> </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19E1C">
            <w:pPr>
              <w:spacing w:line="259" w:lineRule="auto"/>
              <w:rPr>
                <w:sz w:val="24"/>
              </w:rPr>
            </w:pPr>
            <w:r>
              <w:rPr>
                <w:sz w:val="24"/>
              </w:rPr>
              <w:t>碱度、FeO 含量</w:t>
            </w:r>
          </w:p>
          <w:p w14:paraId="0CAB53E5">
            <w:pPr>
              <w:spacing w:line="259" w:lineRule="auto"/>
              <w:rPr>
                <w:sz w:val="24"/>
              </w:rPr>
            </w:pPr>
            <w:r>
              <w:rPr>
                <w:rFonts w:hint="eastAsia"/>
                <w:sz w:val="24"/>
              </w:rPr>
              <w:t>(</w:t>
            </w:r>
            <w:r>
              <w:rPr>
                <w:sz w:val="24"/>
              </w:rPr>
              <w:t>10 分</w:t>
            </w:r>
            <w:r>
              <w:rPr>
                <w:rFonts w:hint="eastAsia"/>
                <w:sz w:val="24"/>
              </w:rPr>
              <w:t>)</w:t>
            </w:r>
            <w:r>
              <w:rPr>
                <w:sz w:val="24"/>
              </w:rPr>
              <w:t xml:space="preserve"> </w:t>
            </w:r>
          </w:p>
        </w:tc>
        <w:tc>
          <w:tcPr>
            <w:tcW w:w="3577" w:type="dxa"/>
            <w:tcBorders>
              <w:top w:val="single" w:color="000000" w:sz="4" w:space="0"/>
              <w:left w:val="single" w:color="000000" w:sz="4" w:space="0"/>
              <w:bottom w:val="single" w:color="000000" w:sz="4" w:space="0"/>
            </w:tcBorders>
            <w:shd w:val="clear" w:color="auto" w:fill="auto"/>
          </w:tcPr>
          <w:p w14:paraId="23BE22C1">
            <w:pPr>
              <w:spacing w:line="259" w:lineRule="auto"/>
              <w:ind w:right="-14"/>
              <w:rPr>
                <w:sz w:val="24"/>
              </w:rPr>
            </w:pPr>
            <w:r>
              <w:rPr>
                <w:sz w:val="24"/>
              </w:rPr>
              <w:t xml:space="preserve">碱度、FeO 含量控制不当，引起返干，小干扣 1 分/次，中干扣 5 分/次，大干扣 10 分 </w:t>
            </w:r>
          </w:p>
        </w:tc>
      </w:tr>
      <w:tr w14:paraId="585853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1004" w:hRule="atLeast"/>
        </w:trPr>
        <w:tc>
          <w:tcPr>
            <w:tcW w:w="709" w:type="dxa"/>
            <w:vMerge w:val="continue"/>
            <w:tcBorders>
              <w:top w:val="nil"/>
              <w:bottom w:val="nil"/>
              <w:right w:val="single" w:color="000000" w:sz="4" w:space="0"/>
            </w:tcBorders>
            <w:shd w:val="clear" w:color="auto" w:fill="auto"/>
          </w:tcPr>
          <w:p w14:paraId="753BDC25">
            <w:pPr>
              <w:spacing w:after="160" w:line="259" w:lineRule="auto"/>
              <w:jc w:val="left"/>
              <w:rPr>
                <w:sz w:val="24"/>
              </w:rPr>
            </w:pPr>
          </w:p>
        </w:tc>
        <w:tc>
          <w:tcPr>
            <w:tcW w:w="1696" w:type="dxa"/>
            <w:vMerge w:val="continue"/>
            <w:tcBorders>
              <w:top w:val="nil"/>
              <w:left w:val="single" w:color="000000" w:sz="4" w:space="0"/>
              <w:bottom w:val="nil"/>
              <w:right w:val="single" w:color="000000" w:sz="4" w:space="0"/>
            </w:tcBorders>
            <w:shd w:val="clear" w:color="auto" w:fill="auto"/>
          </w:tcPr>
          <w:p w14:paraId="147965D0">
            <w:pPr>
              <w:spacing w:after="160" w:line="259" w:lineRule="auto"/>
              <w:rPr>
                <w:sz w:val="24"/>
              </w:rPr>
            </w:pPr>
          </w:p>
        </w:tc>
        <w:tc>
          <w:tcPr>
            <w:tcW w:w="2400" w:type="dxa"/>
            <w:vMerge w:val="continue"/>
            <w:tcBorders>
              <w:top w:val="nil"/>
              <w:left w:val="single" w:color="000000" w:sz="4" w:space="0"/>
              <w:bottom w:val="single" w:color="000000" w:sz="4" w:space="0"/>
              <w:right w:val="single" w:color="000000" w:sz="4" w:space="0"/>
            </w:tcBorders>
            <w:shd w:val="clear" w:color="auto" w:fill="auto"/>
          </w:tcPr>
          <w:p w14:paraId="1043A579">
            <w:pPr>
              <w:spacing w:after="160" w:line="259" w:lineRule="auto"/>
              <w:rPr>
                <w:sz w:val="24"/>
              </w:rPr>
            </w:pPr>
          </w:p>
        </w:tc>
        <w:tc>
          <w:tcPr>
            <w:tcW w:w="3577" w:type="dxa"/>
            <w:tcBorders>
              <w:top w:val="single" w:color="000000" w:sz="4" w:space="0"/>
              <w:left w:val="single" w:color="000000" w:sz="4" w:space="0"/>
              <w:bottom w:val="single" w:color="000000" w:sz="4" w:space="0"/>
            </w:tcBorders>
            <w:shd w:val="clear" w:color="auto" w:fill="auto"/>
          </w:tcPr>
          <w:p w14:paraId="0E2FBC52">
            <w:pPr>
              <w:spacing w:line="259" w:lineRule="auto"/>
              <w:ind w:right="108"/>
              <w:rPr>
                <w:sz w:val="24"/>
              </w:rPr>
            </w:pPr>
            <w:r>
              <w:rPr>
                <w:sz w:val="24"/>
              </w:rPr>
              <w:t xml:space="preserve">FeO 含量控制不当，引起喷溅，小喷溅扣 1 分/次，中喷溅扣 5 分/次，大喷溅扣 10 分 </w:t>
            </w:r>
          </w:p>
        </w:tc>
      </w:tr>
      <w:tr w14:paraId="2B53850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682" w:hRule="atLeast"/>
        </w:trPr>
        <w:tc>
          <w:tcPr>
            <w:tcW w:w="709" w:type="dxa"/>
            <w:vMerge w:val="continue"/>
            <w:tcBorders>
              <w:top w:val="nil"/>
              <w:bottom w:val="nil"/>
              <w:right w:val="single" w:color="000000" w:sz="4" w:space="0"/>
            </w:tcBorders>
            <w:shd w:val="clear" w:color="auto" w:fill="auto"/>
          </w:tcPr>
          <w:p w14:paraId="4F8675C9">
            <w:pPr>
              <w:spacing w:after="160" w:line="259" w:lineRule="auto"/>
              <w:jc w:val="left"/>
              <w:rPr>
                <w:sz w:val="24"/>
              </w:rPr>
            </w:pPr>
          </w:p>
        </w:tc>
        <w:tc>
          <w:tcPr>
            <w:tcW w:w="1696" w:type="dxa"/>
            <w:vMerge w:val="continue"/>
            <w:tcBorders>
              <w:top w:val="nil"/>
              <w:left w:val="single" w:color="000000" w:sz="4" w:space="0"/>
              <w:bottom w:val="single" w:color="000000" w:sz="4" w:space="0"/>
              <w:right w:val="single" w:color="000000" w:sz="4" w:space="0"/>
            </w:tcBorders>
            <w:shd w:val="clear" w:color="auto" w:fill="auto"/>
          </w:tcPr>
          <w:p w14:paraId="74618864">
            <w:pPr>
              <w:spacing w:after="160" w:line="259" w:lineRule="auto"/>
              <w:rPr>
                <w:sz w:val="24"/>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6581">
            <w:pPr>
              <w:spacing w:line="259" w:lineRule="auto"/>
              <w:rPr>
                <w:sz w:val="24"/>
              </w:rPr>
            </w:pPr>
            <w:r>
              <w:rPr>
                <w:sz w:val="24"/>
              </w:rPr>
              <w:t>氧枪控制</w:t>
            </w:r>
          </w:p>
          <w:p w14:paraId="75D4E565">
            <w:pPr>
              <w:spacing w:line="259" w:lineRule="auto"/>
              <w:rPr>
                <w:sz w:val="24"/>
              </w:rPr>
            </w:pPr>
            <w:r>
              <w:rPr>
                <w:rFonts w:hint="eastAsia"/>
                <w:sz w:val="24"/>
              </w:rPr>
              <w:t>(</w:t>
            </w:r>
            <w:r>
              <w:rPr>
                <w:sz w:val="24"/>
              </w:rPr>
              <w:t>10 分</w:t>
            </w:r>
            <w:r>
              <w:rPr>
                <w:rFonts w:hint="eastAsia"/>
                <w:sz w:val="24"/>
              </w:rPr>
              <w:t>)</w:t>
            </w:r>
            <w:r>
              <w:rPr>
                <w:sz w:val="24"/>
              </w:rPr>
              <w:t xml:space="preserve"> </w:t>
            </w:r>
          </w:p>
        </w:tc>
        <w:tc>
          <w:tcPr>
            <w:tcW w:w="3577" w:type="dxa"/>
            <w:tcBorders>
              <w:top w:val="single" w:color="000000" w:sz="4" w:space="0"/>
              <w:left w:val="single" w:color="000000" w:sz="4" w:space="0"/>
              <w:bottom w:val="single" w:color="000000" w:sz="4" w:space="0"/>
            </w:tcBorders>
            <w:shd w:val="clear" w:color="auto" w:fill="auto"/>
          </w:tcPr>
          <w:p w14:paraId="0371443D">
            <w:pPr>
              <w:spacing w:line="259" w:lineRule="auto"/>
              <w:rPr>
                <w:sz w:val="24"/>
              </w:rPr>
            </w:pPr>
            <w:r>
              <w:rPr>
                <w:sz w:val="24"/>
              </w:rPr>
              <w:t xml:space="preserve">控制不当、不及时等引起的工况或导致工况不能及时处置的，扣 2 分/次 </w:t>
            </w:r>
          </w:p>
        </w:tc>
      </w:tr>
      <w:tr w14:paraId="68FD0D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1330" w:hRule="atLeast"/>
        </w:trPr>
        <w:tc>
          <w:tcPr>
            <w:tcW w:w="709" w:type="dxa"/>
            <w:vMerge w:val="continue"/>
            <w:tcBorders>
              <w:top w:val="nil"/>
              <w:bottom w:val="nil"/>
              <w:right w:val="single" w:color="000000" w:sz="4" w:space="0"/>
            </w:tcBorders>
            <w:shd w:val="clear" w:color="auto" w:fill="auto"/>
          </w:tcPr>
          <w:p w14:paraId="3E23C945">
            <w:pPr>
              <w:spacing w:after="160" w:line="259" w:lineRule="auto"/>
              <w:jc w:val="left"/>
              <w:rPr>
                <w:sz w:val="24"/>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2079">
            <w:pPr>
              <w:spacing w:after="26" w:line="245" w:lineRule="auto"/>
              <w:rPr>
                <w:spacing w:val="-23"/>
                <w:sz w:val="24"/>
              </w:rPr>
            </w:pPr>
            <w:r>
              <w:rPr>
                <w:spacing w:val="-23"/>
                <w:sz w:val="24"/>
              </w:rPr>
              <w:t xml:space="preserve">终点成分和温度 </w:t>
            </w:r>
          </w:p>
          <w:p w14:paraId="0D03BBF2">
            <w:pPr>
              <w:spacing w:line="259" w:lineRule="auto"/>
              <w:rPr>
                <w:sz w:val="24"/>
              </w:rPr>
            </w:pPr>
            <w:r>
              <w:rPr>
                <w:rFonts w:hint="eastAsia"/>
                <w:sz w:val="24"/>
              </w:rPr>
              <w:t>(</w:t>
            </w:r>
            <w:r>
              <w:rPr>
                <w:sz w:val="24"/>
              </w:rPr>
              <w:t>15分</w:t>
            </w:r>
            <w:r>
              <w:rPr>
                <w:rFonts w:hint="eastAsia"/>
                <w:sz w:val="24"/>
              </w:rPr>
              <w:t>)</w:t>
            </w:r>
            <w:r>
              <w:rPr>
                <w:sz w:val="24"/>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DB4C">
            <w:pPr>
              <w:spacing w:line="259" w:lineRule="auto"/>
              <w:rPr>
                <w:sz w:val="24"/>
              </w:rPr>
            </w:pPr>
            <w:r>
              <w:rPr>
                <w:sz w:val="24"/>
              </w:rPr>
              <w:t xml:space="preserve">终点温度、C、P 等主要成分 </w:t>
            </w:r>
          </w:p>
        </w:tc>
        <w:tc>
          <w:tcPr>
            <w:tcW w:w="3577" w:type="dxa"/>
            <w:tcBorders>
              <w:top w:val="single" w:color="000000" w:sz="4" w:space="0"/>
              <w:left w:val="single" w:color="000000" w:sz="4" w:space="0"/>
              <w:bottom w:val="single" w:color="000000" w:sz="4" w:space="0"/>
            </w:tcBorders>
            <w:shd w:val="clear" w:color="auto" w:fill="auto"/>
          </w:tcPr>
          <w:p w14:paraId="3CE2EF24">
            <w:pPr>
              <w:spacing w:after="20" w:line="262" w:lineRule="auto"/>
              <w:ind w:right="-10"/>
              <w:rPr>
                <w:sz w:val="24"/>
              </w:rPr>
            </w:pPr>
            <w:r>
              <w:rPr>
                <w:sz w:val="24"/>
              </w:rPr>
              <w:t xml:space="preserve">温度允许偏差±10℃，在偏差范围之外每 1℃扣 1 分；C 每偏差 0.01%扣 1 分，目标值偏差±0.01%内算命中；P 每高0.01%扣 1 分 </w:t>
            </w:r>
          </w:p>
        </w:tc>
      </w:tr>
      <w:tr w14:paraId="3B7C2F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1003" w:hRule="atLeast"/>
        </w:trPr>
        <w:tc>
          <w:tcPr>
            <w:tcW w:w="709" w:type="dxa"/>
            <w:vMerge w:val="continue"/>
            <w:tcBorders>
              <w:top w:val="nil"/>
              <w:bottom w:val="nil"/>
              <w:right w:val="single" w:color="000000" w:sz="4" w:space="0"/>
            </w:tcBorders>
            <w:shd w:val="clear" w:color="auto" w:fill="auto"/>
          </w:tcPr>
          <w:p w14:paraId="4EFE7D8B">
            <w:pPr>
              <w:spacing w:after="160" w:line="259" w:lineRule="auto"/>
              <w:jc w:val="left"/>
              <w:rPr>
                <w:sz w:val="24"/>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1FBB">
            <w:pPr>
              <w:spacing w:line="259" w:lineRule="auto"/>
              <w:rPr>
                <w:sz w:val="24"/>
              </w:rPr>
            </w:pPr>
            <w:r>
              <w:rPr>
                <w:sz w:val="24"/>
              </w:rPr>
              <w:t>脱氧合金化</w:t>
            </w:r>
          </w:p>
          <w:p w14:paraId="2285016F">
            <w:pPr>
              <w:spacing w:line="259" w:lineRule="auto"/>
              <w:rPr>
                <w:sz w:val="24"/>
              </w:rPr>
            </w:pPr>
            <w:r>
              <w:rPr>
                <w:rFonts w:hint="eastAsia"/>
                <w:sz w:val="24"/>
              </w:rPr>
              <w:t>(</w:t>
            </w:r>
            <w:r>
              <w:rPr>
                <w:sz w:val="24"/>
              </w:rPr>
              <w:t>10分</w:t>
            </w:r>
            <w:r>
              <w:rPr>
                <w:rFonts w:hint="eastAsia"/>
                <w:sz w:val="24"/>
              </w:rPr>
              <w:t>)</w:t>
            </w:r>
            <w:r>
              <w:rPr>
                <w:sz w:val="24"/>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126">
            <w:pPr>
              <w:spacing w:line="259" w:lineRule="auto"/>
              <w:rPr>
                <w:sz w:val="24"/>
              </w:rPr>
            </w:pPr>
            <w:r>
              <w:rPr>
                <w:sz w:val="24"/>
              </w:rPr>
              <w:t xml:space="preserve">C、Si、Mn 按指定范围控制 </w:t>
            </w:r>
          </w:p>
        </w:tc>
        <w:tc>
          <w:tcPr>
            <w:tcW w:w="3577" w:type="dxa"/>
            <w:tcBorders>
              <w:top w:val="single" w:color="000000" w:sz="4" w:space="0"/>
              <w:left w:val="single" w:color="000000" w:sz="4" w:space="0"/>
              <w:bottom w:val="single" w:color="000000" w:sz="4" w:space="0"/>
            </w:tcBorders>
            <w:shd w:val="clear" w:color="auto" w:fill="auto"/>
          </w:tcPr>
          <w:p w14:paraId="5A5CF6FD">
            <w:pPr>
              <w:spacing w:line="259" w:lineRule="auto"/>
              <w:rPr>
                <w:sz w:val="24"/>
              </w:rPr>
            </w:pPr>
            <w:r>
              <w:rPr>
                <w:sz w:val="24"/>
              </w:rPr>
              <w:t xml:space="preserve">碳目标值偏差±0.01%内算命中，硅、锰目标值偏差±0.03%内算命中，未命中每偏差 0.01%扣 1 分 </w:t>
            </w:r>
          </w:p>
        </w:tc>
      </w:tr>
      <w:tr w14:paraId="69B56F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682" w:hRule="atLeast"/>
        </w:trPr>
        <w:tc>
          <w:tcPr>
            <w:tcW w:w="709" w:type="dxa"/>
            <w:vMerge w:val="continue"/>
            <w:tcBorders>
              <w:top w:val="nil"/>
              <w:bottom w:val="single" w:color="000000" w:sz="4" w:space="0"/>
              <w:right w:val="single" w:color="000000" w:sz="4" w:space="0"/>
            </w:tcBorders>
            <w:shd w:val="clear" w:color="auto" w:fill="auto"/>
          </w:tcPr>
          <w:p w14:paraId="262CFD25">
            <w:pPr>
              <w:spacing w:after="160" w:line="259" w:lineRule="auto"/>
              <w:jc w:val="left"/>
              <w:rPr>
                <w:sz w:val="24"/>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Pr>
          <w:p w14:paraId="26F840F2">
            <w:pPr>
              <w:spacing w:line="259" w:lineRule="auto"/>
              <w:ind w:right="15"/>
              <w:rPr>
                <w:sz w:val="24"/>
              </w:rPr>
            </w:pPr>
            <w:r>
              <w:rPr>
                <w:sz w:val="24"/>
              </w:rPr>
              <w:t>终点加料</w:t>
            </w:r>
          </w:p>
          <w:p w14:paraId="1CE048DA">
            <w:pPr>
              <w:spacing w:line="259" w:lineRule="auto"/>
              <w:ind w:right="15"/>
              <w:rPr>
                <w:sz w:val="24"/>
              </w:rPr>
            </w:pPr>
            <w:r>
              <w:rPr>
                <w:rFonts w:hint="eastAsia"/>
                <w:sz w:val="24"/>
              </w:rPr>
              <w:t>(</w:t>
            </w:r>
            <w:r>
              <w:rPr>
                <w:sz w:val="24"/>
              </w:rPr>
              <w:t>5分</w:t>
            </w:r>
            <w:r>
              <w:rPr>
                <w:rFonts w:hint="eastAsia"/>
                <w:sz w:val="24"/>
              </w:rPr>
              <w:t>)</w:t>
            </w:r>
            <w:r>
              <w:rPr>
                <w:sz w:val="24"/>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tcPr>
          <w:p w14:paraId="63578ADD">
            <w:pPr>
              <w:spacing w:line="259" w:lineRule="auto"/>
              <w:rPr>
                <w:sz w:val="24"/>
              </w:rPr>
            </w:pPr>
            <w:r>
              <w:rPr>
                <w:sz w:val="24"/>
              </w:rPr>
              <w:t xml:space="preserve">冶炼终点前不合理时间加料 </w:t>
            </w:r>
          </w:p>
        </w:tc>
        <w:tc>
          <w:tcPr>
            <w:tcW w:w="3577" w:type="dxa"/>
            <w:tcBorders>
              <w:top w:val="single" w:color="000000" w:sz="4" w:space="0"/>
              <w:left w:val="single" w:color="000000" w:sz="4" w:space="0"/>
              <w:bottom w:val="single" w:color="000000" w:sz="4" w:space="0"/>
            </w:tcBorders>
            <w:shd w:val="clear" w:color="auto" w:fill="auto"/>
            <w:vAlign w:val="center"/>
          </w:tcPr>
          <w:p w14:paraId="30773EEA">
            <w:pPr>
              <w:spacing w:line="259" w:lineRule="auto"/>
              <w:rPr>
                <w:sz w:val="24"/>
              </w:rPr>
            </w:pPr>
            <w:r>
              <w:rPr>
                <w:sz w:val="24"/>
              </w:rPr>
              <w:t xml:space="preserve">出现一次扣 1 分 </w:t>
            </w:r>
          </w:p>
        </w:tc>
      </w:tr>
      <w:tr w14:paraId="3F222B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353" w:hRule="atLeast"/>
        </w:trPr>
        <w:tc>
          <w:tcPr>
            <w:tcW w:w="709" w:type="dxa"/>
            <w:vMerge w:val="restart"/>
            <w:tcBorders>
              <w:top w:val="single" w:color="000000" w:sz="4" w:space="0"/>
              <w:bottom w:val="single" w:color="000000" w:sz="4" w:space="0"/>
              <w:right w:val="single" w:color="000000" w:sz="4" w:space="0"/>
            </w:tcBorders>
            <w:shd w:val="clear" w:color="auto" w:fill="auto"/>
            <w:vAlign w:val="center"/>
          </w:tcPr>
          <w:p w14:paraId="708EC850">
            <w:pPr>
              <w:spacing w:line="259" w:lineRule="auto"/>
              <w:ind w:right="58"/>
              <w:jc w:val="left"/>
              <w:rPr>
                <w:sz w:val="24"/>
              </w:rPr>
            </w:pPr>
            <w:r>
              <w:rPr>
                <w:sz w:val="24"/>
              </w:rPr>
              <w:t xml:space="preserve">操作合理性 </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791C9">
            <w:pPr>
              <w:spacing w:after="24" w:line="245" w:lineRule="auto"/>
              <w:rPr>
                <w:sz w:val="24"/>
              </w:rPr>
            </w:pPr>
            <w:r>
              <w:rPr>
                <w:sz w:val="24"/>
              </w:rPr>
              <w:t xml:space="preserve">加料、出钢温度等 </w:t>
            </w:r>
          </w:p>
          <w:p w14:paraId="27909514">
            <w:pPr>
              <w:spacing w:line="259" w:lineRule="auto"/>
              <w:rPr>
                <w:sz w:val="24"/>
              </w:rPr>
            </w:pPr>
            <w:r>
              <w:rPr>
                <w:rFonts w:hint="eastAsia"/>
                <w:sz w:val="24"/>
              </w:rPr>
              <w:t>(</w:t>
            </w:r>
            <w:r>
              <w:rPr>
                <w:sz w:val="24"/>
              </w:rPr>
              <w:t>10 分</w:t>
            </w:r>
            <w:r>
              <w:rPr>
                <w:rFonts w:hint="eastAsia"/>
                <w:sz w:val="24"/>
              </w:rPr>
              <w:t>)</w:t>
            </w:r>
            <w:r>
              <w:rPr>
                <w:sz w:val="24"/>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tcPr>
          <w:p w14:paraId="70B3D78F">
            <w:pPr>
              <w:spacing w:line="259" w:lineRule="auto"/>
              <w:rPr>
                <w:sz w:val="24"/>
              </w:rPr>
            </w:pPr>
            <w:r>
              <w:rPr>
                <w:sz w:val="24"/>
              </w:rPr>
              <w:t xml:space="preserve">低于合理温度出钢 </w:t>
            </w:r>
          </w:p>
        </w:tc>
        <w:tc>
          <w:tcPr>
            <w:tcW w:w="3577" w:type="dxa"/>
            <w:tcBorders>
              <w:top w:val="single" w:color="000000" w:sz="4" w:space="0"/>
              <w:left w:val="single" w:color="000000" w:sz="4" w:space="0"/>
              <w:bottom w:val="single" w:color="000000" w:sz="4" w:space="0"/>
            </w:tcBorders>
            <w:shd w:val="clear" w:color="auto" w:fill="auto"/>
          </w:tcPr>
          <w:p w14:paraId="3E618B1A">
            <w:pPr>
              <w:spacing w:line="259" w:lineRule="auto"/>
              <w:rPr>
                <w:sz w:val="24"/>
              </w:rPr>
            </w:pPr>
            <w:r>
              <w:rPr>
                <w:sz w:val="24"/>
              </w:rPr>
              <w:t xml:space="preserve">扣 10 分 </w:t>
            </w:r>
          </w:p>
        </w:tc>
      </w:tr>
      <w:tr w14:paraId="208DE3F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1003" w:hRule="atLeast"/>
        </w:trPr>
        <w:tc>
          <w:tcPr>
            <w:tcW w:w="709" w:type="dxa"/>
            <w:vMerge w:val="continue"/>
            <w:tcBorders>
              <w:top w:val="nil"/>
              <w:bottom w:val="single" w:color="000000" w:sz="4" w:space="0"/>
              <w:right w:val="single" w:color="000000" w:sz="4" w:space="0"/>
            </w:tcBorders>
            <w:shd w:val="clear" w:color="auto" w:fill="auto"/>
          </w:tcPr>
          <w:p w14:paraId="1CEDA886">
            <w:pPr>
              <w:spacing w:after="160" w:line="259" w:lineRule="auto"/>
              <w:jc w:val="left"/>
              <w:rPr>
                <w:sz w:val="24"/>
              </w:rPr>
            </w:pPr>
          </w:p>
        </w:tc>
        <w:tc>
          <w:tcPr>
            <w:tcW w:w="1696" w:type="dxa"/>
            <w:vMerge w:val="continue"/>
            <w:tcBorders>
              <w:top w:val="nil"/>
              <w:left w:val="single" w:color="000000" w:sz="4" w:space="0"/>
              <w:bottom w:val="single" w:color="000000" w:sz="4" w:space="0"/>
              <w:right w:val="single" w:color="000000" w:sz="4" w:space="0"/>
            </w:tcBorders>
            <w:shd w:val="clear" w:color="auto" w:fill="auto"/>
          </w:tcPr>
          <w:p w14:paraId="6466F086">
            <w:pPr>
              <w:spacing w:after="160" w:line="259" w:lineRule="auto"/>
              <w:rPr>
                <w:sz w:val="24"/>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Pr>
          <w:p w14:paraId="5C262855">
            <w:pPr>
              <w:spacing w:line="259" w:lineRule="auto"/>
              <w:rPr>
                <w:sz w:val="24"/>
              </w:rPr>
            </w:pPr>
            <w:r>
              <w:rPr>
                <w:sz w:val="24"/>
              </w:rPr>
              <w:t xml:space="preserve">矿石、造渣料等加入及吹氧时间不合理 </w:t>
            </w:r>
          </w:p>
        </w:tc>
        <w:tc>
          <w:tcPr>
            <w:tcW w:w="3577" w:type="dxa"/>
            <w:tcBorders>
              <w:top w:val="single" w:color="000000" w:sz="4" w:space="0"/>
              <w:left w:val="single" w:color="000000" w:sz="4" w:space="0"/>
              <w:bottom w:val="single" w:color="000000" w:sz="4" w:space="0"/>
            </w:tcBorders>
            <w:shd w:val="clear" w:color="auto" w:fill="auto"/>
            <w:vAlign w:val="center"/>
          </w:tcPr>
          <w:p w14:paraId="3EE6350C">
            <w:pPr>
              <w:spacing w:line="259" w:lineRule="auto"/>
              <w:rPr>
                <w:sz w:val="24"/>
              </w:rPr>
            </w:pPr>
            <w:r>
              <w:rPr>
                <w:sz w:val="24"/>
              </w:rPr>
              <w:t xml:space="preserve">出现一次扣 2 分 </w:t>
            </w:r>
          </w:p>
        </w:tc>
      </w:tr>
      <w:tr w14:paraId="412366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682" w:hRule="atLeast"/>
        </w:trPr>
        <w:tc>
          <w:tcPr>
            <w:tcW w:w="709" w:type="dxa"/>
            <w:tcBorders>
              <w:top w:val="single" w:color="000000" w:sz="4" w:space="0"/>
              <w:bottom w:val="single" w:color="000000" w:sz="4" w:space="0"/>
              <w:right w:val="single" w:color="000000" w:sz="4" w:space="0"/>
            </w:tcBorders>
            <w:shd w:val="clear" w:color="auto" w:fill="auto"/>
          </w:tcPr>
          <w:p w14:paraId="7E6FC6C2">
            <w:pPr>
              <w:spacing w:line="259" w:lineRule="auto"/>
              <w:jc w:val="left"/>
              <w:rPr>
                <w:sz w:val="24"/>
              </w:rPr>
            </w:pPr>
            <w:r>
              <w:rPr>
                <w:spacing w:val="-17"/>
                <w:sz w:val="24"/>
              </w:rPr>
              <w:t>冶炼成本</w:t>
            </w:r>
          </w:p>
        </w:tc>
        <w:tc>
          <w:tcPr>
            <w:tcW w:w="1696" w:type="dxa"/>
            <w:tcBorders>
              <w:top w:val="single" w:color="000000" w:sz="4" w:space="0"/>
              <w:left w:val="single" w:color="000000" w:sz="4" w:space="0"/>
              <w:bottom w:val="single" w:color="000000" w:sz="4" w:space="0"/>
              <w:right w:val="single" w:color="000000" w:sz="4" w:space="0"/>
            </w:tcBorders>
            <w:shd w:val="clear" w:color="auto" w:fill="auto"/>
          </w:tcPr>
          <w:p w14:paraId="2128F19F">
            <w:pPr>
              <w:spacing w:line="259" w:lineRule="auto"/>
              <w:rPr>
                <w:sz w:val="24"/>
              </w:rPr>
            </w:pPr>
            <w:r>
              <w:rPr>
                <w:sz w:val="24"/>
              </w:rPr>
              <w:t>冶炼成本</w:t>
            </w:r>
          </w:p>
          <w:p w14:paraId="3ACA1F07">
            <w:pPr>
              <w:spacing w:line="259" w:lineRule="auto"/>
              <w:rPr>
                <w:sz w:val="24"/>
              </w:rPr>
            </w:pPr>
            <w:r>
              <w:rPr>
                <w:rFonts w:hint="eastAsia"/>
                <w:sz w:val="24"/>
              </w:rPr>
              <w:t>(</w:t>
            </w:r>
            <w:r>
              <w:rPr>
                <w:sz w:val="24"/>
              </w:rPr>
              <w:t>15 分</w:t>
            </w:r>
            <w:r>
              <w:rPr>
                <w:rFonts w:hint="eastAsia"/>
                <w:sz w:val="24"/>
              </w:rPr>
              <w:t>)</w:t>
            </w:r>
            <w:r>
              <w:rPr>
                <w:sz w:val="24"/>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tcPr>
          <w:p w14:paraId="77152735">
            <w:pPr>
              <w:spacing w:line="259" w:lineRule="auto"/>
              <w:rPr>
                <w:sz w:val="24"/>
              </w:rPr>
            </w:pPr>
            <w:r>
              <w:rPr>
                <w:sz w:val="24"/>
              </w:rPr>
              <w:t xml:space="preserve">所有参赛队成本排序 </w:t>
            </w:r>
          </w:p>
        </w:tc>
        <w:tc>
          <w:tcPr>
            <w:tcW w:w="3577" w:type="dxa"/>
            <w:tcBorders>
              <w:top w:val="single" w:color="000000" w:sz="4" w:space="0"/>
              <w:left w:val="single" w:color="000000" w:sz="4" w:space="0"/>
              <w:bottom w:val="single" w:color="000000" w:sz="4" w:space="0"/>
            </w:tcBorders>
            <w:shd w:val="clear" w:color="auto" w:fill="auto"/>
          </w:tcPr>
          <w:p w14:paraId="018E0A07">
            <w:pPr>
              <w:spacing w:line="259" w:lineRule="auto"/>
              <w:ind w:right="-12"/>
              <w:rPr>
                <w:sz w:val="24"/>
              </w:rPr>
            </w:pPr>
            <w:r>
              <w:rPr>
                <w:sz w:val="24"/>
              </w:rPr>
              <w:t xml:space="preserve">剔除废钢队，参赛队成本最低为15分，其他队按名次递减 0.5 分，直至 0 分 </w:t>
            </w:r>
          </w:p>
        </w:tc>
      </w:tr>
      <w:tr w14:paraId="1D0BAA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1004" w:hRule="atLeast"/>
        </w:trPr>
        <w:tc>
          <w:tcPr>
            <w:tcW w:w="709" w:type="dxa"/>
            <w:tcBorders>
              <w:top w:val="single" w:color="000000" w:sz="4" w:space="0"/>
              <w:bottom w:val="single" w:color="000000" w:sz="4" w:space="0"/>
              <w:right w:val="single" w:color="000000" w:sz="4" w:space="0"/>
            </w:tcBorders>
            <w:shd w:val="clear" w:color="auto" w:fill="auto"/>
          </w:tcPr>
          <w:p w14:paraId="060F6482">
            <w:pPr>
              <w:spacing w:line="259" w:lineRule="auto"/>
              <w:jc w:val="left"/>
              <w:rPr>
                <w:sz w:val="24"/>
              </w:rPr>
            </w:pPr>
            <w:r>
              <w:rPr>
                <w:sz w:val="24"/>
              </w:rPr>
              <w:t xml:space="preserve">效率 </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955D">
            <w:pPr>
              <w:spacing w:line="259" w:lineRule="auto"/>
              <w:rPr>
                <w:sz w:val="24"/>
              </w:rPr>
            </w:pPr>
            <w:r>
              <w:rPr>
                <w:sz w:val="24"/>
              </w:rPr>
              <w:t>冶炼效率</w:t>
            </w:r>
          </w:p>
          <w:p w14:paraId="7A61C4DB">
            <w:pPr>
              <w:spacing w:line="259" w:lineRule="auto"/>
              <w:rPr>
                <w:sz w:val="24"/>
              </w:rPr>
            </w:pPr>
            <w:r>
              <w:rPr>
                <w:rFonts w:hint="eastAsia"/>
                <w:sz w:val="24"/>
              </w:rPr>
              <w:t>(</w:t>
            </w:r>
            <w:r>
              <w:rPr>
                <w:sz w:val="24"/>
              </w:rPr>
              <w:t>5 分</w:t>
            </w:r>
            <w:r>
              <w:rPr>
                <w:rFonts w:hint="eastAsia"/>
                <w:sz w:val="24"/>
              </w:rPr>
              <w:t>)</w:t>
            </w:r>
            <w:r>
              <w:rPr>
                <w:sz w:val="24"/>
              </w:rPr>
              <w:t xml:space="preserve">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0EFB">
            <w:pPr>
              <w:spacing w:line="259" w:lineRule="auto"/>
              <w:rPr>
                <w:sz w:val="24"/>
              </w:rPr>
            </w:pPr>
            <w:r>
              <w:rPr>
                <w:sz w:val="24"/>
              </w:rPr>
              <w:t xml:space="preserve">所有参赛队冶炼时间排序 </w:t>
            </w:r>
          </w:p>
        </w:tc>
        <w:tc>
          <w:tcPr>
            <w:tcW w:w="3577" w:type="dxa"/>
            <w:tcBorders>
              <w:top w:val="single" w:color="000000" w:sz="4" w:space="0"/>
              <w:left w:val="single" w:color="000000" w:sz="4" w:space="0"/>
              <w:bottom w:val="single" w:color="000000" w:sz="4" w:space="0"/>
            </w:tcBorders>
            <w:shd w:val="clear" w:color="auto" w:fill="auto"/>
          </w:tcPr>
          <w:p w14:paraId="49AD6BC1">
            <w:pPr>
              <w:spacing w:line="259" w:lineRule="auto"/>
              <w:rPr>
                <w:sz w:val="24"/>
              </w:rPr>
            </w:pPr>
            <w:r>
              <w:rPr>
                <w:sz w:val="24"/>
              </w:rPr>
              <w:t xml:space="preserve">剔除废钢队，参赛队冶炼用时最短为 5 分，其他队按名次递减 0.1 分，直至 0 分 </w:t>
            </w:r>
          </w:p>
        </w:tc>
      </w:tr>
      <w:tr w14:paraId="747B69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41" w:type="dxa"/>
            <w:left w:w="108" w:type="dxa"/>
            <w:bottom w:w="0" w:type="dxa"/>
            <w:right w:w="0" w:type="dxa"/>
          </w:tblCellMar>
        </w:tblPrEx>
        <w:trPr>
          <w:trHeight w:val="377" w:hRule="atLeast"/>
        </w:trPr>
        <w:tc>
          <w:tcPr>
            <w:tcW w:w="709" w:type="dxa"/>
            <w:tcBorders>
              <w:top w:val="single" w:color="000000" w:sz="4" w:space="0"/>
              <w:right w:val="single" w:color="000000" w:sz="4" w:space="0"/>
            </w:tcBorders>
            <w:shd w:val="clear" w:color="auto" w:fill="auto"/>
          </w:tcPr>
          <w:p w14:paraId="63900D21">
            <w:pPr>
              <w:spacing w:line="259" w:lineRule="auto"/>
              <w:rPr>
                <w:sz w:val="24"/>
              </w:rPr>
            </w:pPr>
            <w:r>
              <w:rPr>
                <w:sz w:val="24"/>
              </w:rPr>
              <w:t xml:space="preserve">总计 </w:t>
            </w:r>
          </w:p>
        </w:tc>
        <w:tc>
          <w:tcPr>
            <w:tcW w:w="1696" w:type="dxa"/>
            <w:tcBorders>
              <w:top w:val="single" w:color="000000" w:sz="4" w:space="0"/>
              <w:left w:val="single" w:color="000000" w:sz="4" w:space="0"/>
              <w:right w:val="single" w:color="000000" w:sz="4" w:space="0"/>
            </w:tcBorders>
            <w:shd w:val="clear" w:color="auto" w:fill="auto"/>
          </w:tcPr>
          <w:p w14:paraId="285492B1">
            <w:pPr>
              <w:spacing w:line="259" w:lineRule="auto"/>
              <w:ind w:right="3"/>
              <w:jc w:val="center"/>
              <w:rPr>
                <w:sz w:val="24"/>
              </w:rPr>
            </w:pPr>
            <w:r>
              <w:rPr>
                <w:sz w:val="24"/>
              </w:rPr>
              <w:t xml:space="preserve">100 分 </w:t>
            </w:r>
          </w:p>
        </w:tc>
        <w:tc>
          <w:tcPr>
            <w:tcW w:w="2400" w:type="dxa"/>
            <w:tcBorders>
              <w:top w:val="single" w:color="000000" w:sz="4" w:space="0"/>
              <w:left w:val="single" w:color="000000" w:sz="4" w:space="0"/>
              <w:right w:val="single" w:color="000000" w:sz="4" w:space="0"/>
            </w:tcBorders>
            <w:shd w:val="clear" w:color="auto" w:fill="auto"/>
          </w:tcPr>
          <w:p w14:paraId="4F8C52C3">
            <w:pPr>
              <w:spacing w:line="259" w:lineRule="auto"/>
              <w:rPr>
                <w:sz w:val="24"/>
              </w:rPr>
            </w:pPr>
            <w:r>
              <w:rPr>
                <w:sz w:val="24"/>
              </w:rPr>
              <w:t xml:space="preserve"> </w:t>
            </w:r>
          </w:p>
        </w:tc>
        <w:tc>
          <w:tcPr>
            <w:tcW w:w="3577" w:type="dxa"/>
            <w:tcBorders>
              <w:top w:val="single" w:color="000000" w:sz="4" w:space="0"/>
              <w:left w:val="single" w:color="000000" w:sz="4" w:space="0"/>
            </w:tcBorders>
            <w:shd w:val="clear" w:color="auto" w:fill="auto"/>
          </w:tcPr>
          <w:p w14:paraId="554FE119">
            <w:pPr>
              <w:spacing w:line="259" w:lineRule="auto"/>
              <w:rPr>
                <w:sz w:val="24"/>
              </w:rPr>
            </w:pPr>
            <w:r>
              <w:rPr>
                <w:sz w:val="24"/>
              </w:rPr>
              <w:t xml:space="preserve"> </w:t>
            </w:r>
          </w:p>
        </w:tc>
      </w:tr>
    </w:tbl>
    <w:p w14:paraId="3D81AF0A">
      <w:pPr>
        <w:spacing w:after="173" w:line="259" w:lineRule="auto"/>
        <w:ind w:left="651"/>
        <w:rPr>
          <w:sz w:val="24"/>
        </w:rPr>
      </w:pPr>
      <w:r>
        <w:rPr>
          <w:sz w:val="24"/>
        </w:rPr>
        <w:t xml:space="preserve">2.新材料知识与技能 </w:t>
      </w:r>
    </w:p>
    <w:p w14:paraId="3324F6F7">
      <w:pPr>
        <w:spacing w:line="259" w:lineRule="auto"/>
        <w:ind w:left="255" w:right="565"/>
        <w:jc w:val="center"/>
        <w:rPr>
          <w:sz w:val="24"/>
        </w:rPr>
      </w:pPr>
      <w:r>
        <w:rPr>
          <w:sz w:val="24"/>
        </w:rPr>
        <w:t xml:space="preserve">表5  新材料知识与技能机考评分参照表 </w:t>
      </w:r>
    </w:p>
    <w:tbl>
      <w:tblPr>
        <w:tblStyle w:val="4"/>
        <w:tblW w:w="8397" w:type="dxa"/>
        <w:tblInd w:w="108" w:type="dxa"/>
        <w:tblLayout w:type="autofit"/>
        <w:tblCellMar>
          <w:top w:w="41" w:type="dxa"/>
          <w:left w:w="108" w:type="dxa"/>
          <w:bottom w:w="0" w:type="dxa"/>
          <w:right w:w="109" w:type="dxa"/>
        </w:tblCellMar>
      </w:tblPr>
      <w:tblGrid>
        <w:gridCol w:w="1738"/>
        <w:gridCol w:w="1409"/>
        <w:gridCol w:w="1421"/>
        <w:gridCol w:w="1135"/>
        <w:gridCol w:w="1417"/>
        <w:gridCol w:w="1277"/>
      </w:tblGrid>
      <w:tr w14:paraId="1B0389F4">
        <w:tblPrEx>
          <w:tblCellMar>
            <w:top w:w="41" w:type="dxa"/>
            <w:left w:w="108" w:type="dxa"/>
            <w:bottom w:w="0" w:type="dxa"/>
            <w:right w:w="109" w:type="dxa"/>
          </w:tblCellMar>
        </w:tblPrEx>
        <w:trPr>
          <w:trHeight w:val="943"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1D86">
            <w:pPr>
              <w:spacing w:line="259" w:lineRule="auto"/>
              <w:ind w:left="1"/>
              <w:jc w:val="center"/>
              <w:rPr>
                <w:sz w:val="24"/>
              </w:rPr>
            </w:pPr>
            <w:r>
              <w:rPr>
                <w:sz w:val="24"/>
              </w:rPr>
              <w:t xml:space="preserve">考核内容 </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14:paraId="5A307592">
            <w:pPr>
              <w:spacing w:line="259" w:lineRule="auto"/>
              <w:jc w:val="center"/>
              <w:rPr>
                <w:sz w:val="24"/>
              </w:rPr>
            </w:pPr>
            <w:r>
              <w:rPr>
                <w:sz w:val="24"/>
              </w:rPr>
              <w:t xml:space="preserve">黑色金属材料知识与技能 </w:t>
            </w:r>
          </w:p>
        </w:tc>
        <w:tc>
          <w:tcPr>
            <w:tcW w:w="1421" w:type="dxa"/>
            <w:tcBorders>
              <w:top w:val="single" w:color="000000" w:sz="4" w:space="0"/>
              <w:left w:val="single" w:color="000000" w:sz="4" w:space="0"/>
              <w:bottom w:val="single" w:color="000000" w:sz="4" w:space="0"/>
              <w:right w:val="single" w:color="000000" w:sz="4" w:space="0"/>
            </w:tcBorders>
            <w:shd w:val="clear" w:color="auto" w:fill="auto"/>
          </w:tcPr>
          <w:p w14:paraId="101B3E5B">
            <w:pPr>
              <w:spacing w:line="259" w:lineRule="auto"/>
              <w:jc w:val="center"/>
              <w:rPr>
                <w:sz w:val="24"/>
              </w:rPr>
            </w:pPr>
            <w:r>
              <w:rPr>
                <w:sz w:val="24"/>
              </w:rPr>
              <w:t xml:space="preserve">有色金属材料知识与技能 </w:t>
            </w: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0033D426">
            <w:pPr>
              <w:spacing w:line="259" w:lineRule="auto"/>
              <w:jc w:val="center"/>
              <w:rPr>
                <w:sz w:val="24"/>
              </w:rPr>
            </w:pPr>
            <w:r>
              <w:rPr>
                <w:sz w:val="24"/>
              </w:rPr>
              <w:t xml:space="preserve">建筑材料知识与技能 </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14:paraId="5F5E53ED">
            <w:pPr>
              <w:spacing w:line="259" w:lineRule="auto"/>
              <w:jc w:val="center"/>
              <w:rPr>
                <w:sz w:val="24"/>
              </w:rPr>
            </w:pPr>
            <w:r>
              <w:rPr>
                <w:sz w:val="24"/>
              </w:rPr>
              <w:t xml:space="preserve">其它新材料相关知识与技能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85B0">
            <w:pPr>
              <w:spacing w:line="259" w:lineRule="auto"/>
              <w:ind w:left="1"/>
              <w:jc w:val="center"/>
              <w:rPr>
                <w:sz w:val="24"/>
              </w:rPr>
            </w:pPr>
            <w:r>
              <w:rPr>
                <w:sz w:val="24"/>
              </w:rPr>
              <w:t xml:space="preserve">合计 </w:t>
            </w:r>
          </w:p>
        </w:tc>
      </w:tr>
      <w:tr w14:paraId="3F233950">
        <w:tblPrEx>
          <w:tblCellMar>
            <w:top w:w="41" w:type="dxa"/>
            <w:left w:w="108" w:type="dxa"/>
            <w:bottom w:w="0" w:type="dxa"/>
            <w:right w:w="109" w:type="dxa"/>
          </w:tblCellMar>
        </w:tblPrEx>
        <w:trPr>
          <w:trHeight w:val="445"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Pr>
          <w:p w14:paraId="71D02762">
            <w:pPr>
              <w:spacing w:line="259" w:lineRule="auto"/>
              <w:rPr>
                <w:sz w:val="24"/>
              </w:rPr>
            </w:pPr>
            <w:r>
              <w:rPr>
                <w:sz w:val="24"/>
              </w:rPr>
              <w:t>单选题</w:t>
            </w:r>
            <w:r>
              <w:rPr>
                <w:rFonts w:hint="eastAsia"/>
                <w:sz w:val="24"/>
              </w:rPr>
              <w:t>(</w:t>
            </w:r>
            <w:r>
              <w:rPr>
                <w:sz w:val="24"/>
              </w:rPr>
              <w:t>40 分</w:t>
            </w:r>
            <w:r>
              <w:rPr>
                <w:rFonts w:hint="eastAsia"/>
                <w:sz w:val="24"/>
              </w:rPr>
              <w:t>)</w:t>
            </w:r>
            <w:r>
              <w:rPr>
                <w:sz w:val="24"/>
              </w:rPr>
              <w:t xml:space="preserve"> </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14:paraId="5983E152">
            <w:pPr>
              <w:spacing w:line="259" w:lineRule="auto"/>
              <w:ind w:left="2"/>
              <w:jc w:val="center"/>
              <w:rPr>
                <w:sz w:val="24"/>
              </w:rPr>
            </w:pPr>
            <w:r>
              <w:rPr>
                <w:sz w:val="24"/>
              </w:rPr>
              <w:t xml:space="preserve">30% </w:t>
            </w:r>
          </w:p>
        </w:tc>
        <w:tc>
          <w:tcPr>
            <w:tcW w:w="1421" w:type="dxa"/>
            <w:tcBorders>
              <w:top w:val="single" w:color="000000" w:sz="4" w:space="0"/>
              <w:left w:val="single" w:color="000000" w:sz="4" w:space="0"/>
              <w:bottom w:val="single" w:color="000000" w:sz="4" w:space="0"/>
              <w:right w:val="single" w:color="000000" w:sz="4" w:space="0"/>
            </w:tcBorders>
            <w:shd w:val="clear" w:color="auto" w:fill="auto"/>
          </w:tcPr>
          <w:p w14:paraId="3367F768">
            <w:pPr>
              <w:spacing w:line="259" w:lineRule="auto"/>
              <w:ind w:right="1"/>
              <w:jc w:val="center"/>
              <w:rPr>
                <w:sz w:val="24"/>
              </w:rPr>
            </w:pPr>
            <w:r>
              <w:rPr>
                <w:sz w:val="24"/>
              </w:rPr>
              <w:t xml:space="preserve">30% </w:t>
            </w: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368B2AD9">
            <w:pPr>
              <w:spacing w:line="259" w:lineRule="auto"/>
              <w:ind w:left="1"/>
              <w:jc w:val="center"/>
              <w:rPr>
                <w:sz w:val="24"/>
              </w:rPr>
            </w:pPr>
            <w:r>
              <w:rPr>
                <w:sz w:val="24"/>
              </w:rPr>
              <w:t xml:space="preserve">30% </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14:paraId="13F7870C">
            <w:pPr>
              <w:spacing w:line="259" w:lineRule="auto"/>
              <w:ind w:right="2"/>
              <w:jc w:val="center"/>
              <w:rPr>
                <w:sz w:val="24"/>
              </w:rPr>
            </w:pPr>
            <w:r>
              <w:rPr>
                <w:sz w:val="24"/>
              </w:rPr>
              <w:t xml:space="preserve">10% </w:t>
            </w: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1A04A463">
            <w:pPr>
              <w:spacing w:line="259" w:lineRule="auto"/>
              <w:ind w:right="1"/>
              <w:jc w:val="center"/>
              <w:rPr>
                <w:sz w:val="24"/>
              </w:rPr>
            </w:pPr>
            <w:r>
              <w:rPr>
                <w:sz w:val="24"/>
              </w:rPr>
              <w:t xml:space="preserve">100% </w:t>
            </w:r>
          </w:p>
        </w:tc>
      </w:tr>
      <w:tr w14:paraId="42347DD0">
        <w:tblPrEx>
          <w:tblCellMar>
            <w:top w:w="41" w:type="dxa"/>
            <w:left w:w="108" w:type="dxa"/>
            <w:bottom w:w="0" w:type="dxa"/>
            <w:right w:w="109" w:type="dxa"/>
          </w:tblCellMar>
        </w:tblPrEx>
        <w:trPr>
          <w:trHeight w:val="396"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Pr>
          <w:p w14:paraId="455A999D">
            <w:pPr>
              <w:spacing w:line="259" w:lineRule="auto"/>
              <w:rPr>
                <w:sz w:val="24"/>
              </w:rPr>
            </w:pPr>
            <w:r>
              <w:rPr>
                <w:sz w:val="24"/>
              </w:rPr>
              <w:t>多选题</w:t>
            </w:r>
            <w:r>
              <w:rPr>
                <w:rFonts w:hint="eastAsia"/>
                <w:sz w:val="24"/>
              </w:rPr>
              <w:t>(</w:t>
            </w:r>
            <w:r>
              <w:rPr>
                <w:sz w:val="24"/>
              </w:rPr>
              <w:t>30 分</w:t>
            </w:r>
            <w:r>
              <w:rPr>
                <w:rFonts w:hint="eastAsia"/>
                <w:sz w:val="24"/>
              </w:rPr>
              <w:t>)</w:t>
            </w:r>
            <w:r>
              <w:rPr>
                <w:sz w:val="24"/>
              </w:rPr>
              <w:t xml:space="preserve"> </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14:paraId="3FC3F6EC">
            <w:pPr>
              <w:spacing w:line="259" w:lineRule="auto"/>
              <w:ind w:left="2"/>
              <w:jc w:val="center"/>
              <w:rPr>
                <w:sz w:val="24"/>
              </w:rPr>
            </w:pPr>
            <w:r>
              <w:rPr>
                <w:sz w:val="24"/>
              </w:rPr>
              <w:t xml:space="preserve">30% </w:t>
            </w:r>
          </w:p>
        </w:tc>
        <w:tc>
          <w:tcPr>
            <w:tcW w:w="1421" w:type="dxa"/>
            <w:tcBorders>
              <w:top w:val="single" w:color="000000" w:sz="4" w:space="0"/>
              <w:left w:val="single" w:color="000000" w:sz="4" w:space="0"/>
              <w:bottom w:val="single" w:color="000000" w:sz="4" w:space="0"/>
              <w:right w:val="single" w:color="000000" w:sz="4" w:space="0"/>
            </w:tcBorders>
            <w:shd w:val="clear" w:color="auto" w:fill="auto"/>
          </w:tcPr>
          <w:p w14:paraId="5BE4A23C">
            <w:pPr>
              <w:spacing w:line="259" w:lineRule="auto"/>
              <w:ind w:right="1"/>
              <w:jc w:val="center"/>
              <w:rPr>
                <w:sz w:val="24"/>
              </w:rPr>
            </w:pPr>
            <w:r>
              <w:rPr>
                <w:sz w:val="24"/>
              </w:rPr>
              <w:t xml:space="preserve">30% </w:t>
            </w: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6D30C437">
            <w:pPr>
              <w:spacing w:line="259" w:lineRule="auto"/>
              <w:ind w:left="1"/>
              <w:jc w:val="center"/>
              <w:rPr>
                <w:sz w:val="24"/>
              </w:rPr>
            </w:pPr>
            <w:r>
              <w:rPr>
                <w:sz w:val="24"/>
              </w:rPr>
              <w:t xml:space="preserve">30% </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14:paraId="02E46BD1">
            <w:pPr>
              <w:spacing w:line="259" w:lineRule="auto"/>
              <w:ind w:right="2"/>
              <w:jc w:val="center"/>
              <w:rPr>
                <w:sz w:val="24"/>
              </w:rPr>
            </w:pPr>
            <w:r>
              <w:rPr>
                <w:sz w:val="24"/>
              </w:rPr>
              <w:t xml:space="preserve">10% </w:t>
            </w: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1008F1E4">
            <w:pPr>
              <w:spacing w:line="259" w:lineRule="auto"/>
              <w:ind w:right="1"/>
              <w:jc w:val="center"/>
              <w:rPr>
                <w:sz w:val="24"/>
              </w:rPr>
            </w:pPr>
            <w:r>
              <w:rPr>
                <w:sz w:val="24"/>
              </w:rPr>
              <w:t xml:space="preserve">100% </w:t>
            </w:r>
          </w:p>
        </w:tc>
      </w:tr>
      <w:tr w14:paraId="656E2808">
        <w:tblPrEx>
          <w:tblCellMar>
            <w:top w:w="41" w:type="dxa"/>
            <w:left w:w="108" w:type="dxa"/>
            <w:bottom w:w="0" w:type="dxa"/>
            <w:right w:w="109" w:type="dxa"/>
          </w:tblCellMar>
        </w:tblPrEx>
        <w:trPr>
          <w:trHeight w:val="396"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Pr>
          <w:p w14:paraId="72CB7811">
            <w:pPr>
              <w:spacing w:line="259" w:lineRule="auto"/>
              <w:rPr>
                <w:sz w:val="24"/>
              </w:rPr>
            </w:pPr>
            <w:r>
              <w:rPr>
                <w:sz w:val="24"/>
              </w:rPr>
              <w:t>是非题</w:t>
            </w:r>
            <w:r>
              <w:rPr>
                <w:rFonts w:hint="eastAsia"/>
                <w:sz w:val="24"/>
              </w:rPr>
              <w:t>(</w:t>
            </w:r>
            <w:r>
              <w:rPr>
                <w:sz w:val="24"/>
              </w:rPr>
              <w:t>30 分</w:t>
            </w:r>
            <w:r>
              <w:rPr>
                <w:rFonts w:hint="eastAsia"/>
                <w:sz w:val="24"/>
              </w:rPr>
              <w:t>)</w:t>
            </w:r>
            <w:r>
              <w:rPr>
                <w:sz w:val="24"/>
              </w:rPr>
              <w:t xml:space="preserve"> </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14:paraId="02CA0669">
            <w:pPr>
              <w:spacing w:line="259" w:lineRule="auto"/>
              <w:ind w:left="2"/>
              <w:jc w:val="center"/>
              <w:rPr>
                <w:sz w:val="24"/>
              </w:rPr>
            </w:pPr>
            <w:r>
              <w:rPr>
                <w:sz w:val="24"/>
              </w:rPr>
              <w:t xml:space="preserve">30% </w:t>
            </w:r>
          </w:p>
        </w:tc>
        <w:tc>
          <w:tcPr>
            <w:tcW w:w="1421" w:type="dxa"/>
            <w:tcBorders>
              <w:top w:val="single" w:color="000000" w:sz="4" w:space="0"/>
              <w:left w:val="single" w:color="000000" w:sz="4" w:space="0"/>
              <w:bottom w:val="single" w:color="000000" w:sz="4" w:space="0"/>
              <w:right w:val="single" w:color="000000" w:sz="4" w:space="0"/>
            </w:tcBorders>
            <w:shd w:val="clear" w:color="auto" w:fill="auto"/>
          </w:tcPr>
          <w:p w14:paraId="1B64A2B8">
            <w:pPr>
              <w:spacing w:line="259" w:lineRule="auto"/>
              <w:ind w:right="1"/>
              <w:jc w:val="center"/>
              <w:rPr>
                <w:sz w:val="24"/>
              </w:rPr>
            </w:pPr>
            <w:r>
              <w:rPr>
                <w:sz w:val="24"/>
              </w:rPr>
              <w:t xml:space="preserve">30% </w:t>
            </w: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7EC325A3">
            <w:pPr>
              <w:spacing w:line="259" w:lineRule="auto"/>
              <w:ind w:left="1"/>
              <w:jc w:val="center"/>
              <w:rPr>
                <w:sz w:val="24"/>
              </w:rPr>
            </w:pPr>
            <w:r>
              <w:rPr>
                <w:sz w:val="24"/>
              </w:rPr>
              <w:t xml:space="preserve">30% </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14:paraId="1F87E949">
            <w:pPr>
              <w:spacing w:line="259" w:lineRule="auto"/>
              <w:ind w:right="2"/>
              <w:jc w:val="center"/>
              <w:rPr>
                <w:sz w:val="24"/>
              </w:rPr>
            </w:pPr>
            <w:r>
              <w:rPr>
                <w:sz w:val="24"/>
              </w:rPr>
              <w:t xml:space="preserve">10% </w:t>
            </w: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3C0D4DCB">
            <w:pPr>
              <w:spacing w:line="259" w:lineRule="auto"/>
              <w:ind w:right="1"/>
              <w:jc w:val="center"/>
              <w:rPr>
                <w:sz w:val="24"/>
              </w:rPr>
            </w:pPr>
            <w:r>
              <w:rPr>
                <w:sz w:val="24"/>
              </w:rPr>
              <w:t xml:space="preserve">100% </w:t>
            </w:r>
          </w:p>
        </w:tc>
      </w:tr>
      <w:tr w14:paraId="40DD47DB">
        <w:tblPrEx>
          <w:tblCellMar>
            <w:top w:w="41" w:type="dxa"/>
            <w:left w:w="108" w:type="dxa"/>
            <w:bottom w:w="0" w:type="dxa"/>
            <w:right w:w="109" w:type="dxa"/>
          </w:tblCellMar>
        </w:tblPrEx>
        <w:trPr>
          <w:trHeight w:val="396" w:hRule="atLeast"/>
        </w:trPr>
        <w:tc>
          <w:tcPr>
            <w:tcW w:w="1738" w:type="dxa"/>
            <w:tcBorders>
              <w:top w:val="single" w:color="000000" w:sz="4" w:space="0"/>
              <w:left w:val="single" w:color="000000" w:sz="4" w:space="0"/>
              <w:bottom w:val="single" w:color="000000" w:sz="4" w:space="0"/>
              <w:right w:val="single" w:color="000000" w:sz="4" w:space="0"/>
            </w:tcBorders>
            <w:shd w:val="clear" w:color="auto" w:fill="auto"/>
          </w:tcPr>
          <w:p w14:paraId="4E029917">
            <w:pPr>
              <w:spacing w:line="259" w:lineRule="auto"/>
              <w:rPr>
                <w:sz w:val="24"/>
              </w:rPr>
            </w:pPr>
            <w:r>
              <w:rPr>
                <w:sz w:val="24"/>
              </w:rPr>
              <w:t>合计</w:t>
            </w:r>
            <w:r>
              <w:rPr>
                <w:rFonts w:hint="eastAsia"/>
                <w:sz w:val="24"/>
              </w:rPr>
              <w:t>(</w:t>
            </w:r>
            <w:r>
              <w:rPr>
                <w:sz w:val="24"/>
              </w:rPr>
              <w:t>100 分</w:t>
            </w:r>
            <w:r>
              <w:rPr>
                <w:rFonts w:hint="eastAsia"/>
                <w:sz w:val="24"/>
              </w:rPr>
              <w:t>)</w:t>
            </w:r>
            <w:r>
              <w:rPr>
                <w:sz w:val="24"/>
              </w:rPr>
              <w:t xml:space="preserve"> </w:t>
            </w:r>
          </w:p>
        </w:tc>
        <w:tc>
          <w:tcPr>
            <w:tcW w:w="1409" w:type="dxa"/>
            <w:tcBorders>
              <w:top w:val="single" w:color="000000" w:sz="4" w:space="0"/>
              <w:left w:val="single" w:color="000000" w:sz="4" w:space="0"/>
              <w:bottom w:val="single" w:color="000000" w:sz="4" w:space="0"/>
              <w:right w:val="single" w:color="000000" w:sz="4" w:space="0"/>
            </w:tcBorders>
            <w:shd w:val="clear" w:color="auto" w:fill="auto"/>
          </w:tcPr>
          <w:p w14:paraId="54B7ED8F">
            <w:pPr>
              <w:spacing w:line="259" w:lineRule="auto"/>
              <w:ind w:left="2"/>
              <w:jc w:val="center"/>
              <w:rPr>
                <w:sz w:val="24"/>
              </w:rPr>
            </w:pPr>
            <w:r>
              <w:rPr>
                <w:sz w:val="24"/>
              </w:rPr>
              <w:t xml:space="preserve">30% </w:t>
            </w:r>
          </w:p>
        </w:tc>
        <w:tc>
          <w:tcPr>
            <w:tcW w:w="1421" w:type="dxa"/>
            <w:tcBorders>
              <w:top w:val="single" w:color="000000" w:sz="4" w:space="0"/>
              <w:left w:val="single" w:color="000000" w:sz="4" w:space="0"/>
              <w:bottom w:val="single" w:color="000000" w:sz="4" w:space="0"/>
              <w:right w:val="single" w:color="000000" w:sz="4" w:space="0"/>
            </w:tcBorders>
            <w:shd w:val="clear" w:color="auto" w:fill="auto"/>
          </w:tcPr>
          <w:p w14:paraId="2F215780">
            <w:pPr>
              <w:spacing w:line="259" w:lineRule="auto"/>
              <w:ind w:right="1"/>
              <w:jc w:val="center"/>
              <w:rPr>
                <w:sz w:val="24"/>
              </w:rPr>
            </w:pPr>
            <w:r>
              <w:rPr>
                <w:sz w:val="24"/>
              </w:rPr>
              <w:t xml:space="preserve">30% </w:t>
            </w: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2D268718">
            <w:pPr>
              <w:spacing w:line="259" w:lineRule="auto"/>
              <w:ind w:left="1"/>
              <w:jc w:val="center"/>
              <w:rPr>
                <w:sz w:val="24"/>
              </w:rPr>
            </w:pPr>
            <w:r>
              <w:rPr>
                <w:sz w:val="24"/>
              </w:rPr>
              <w:t xml:space="preserve">30% </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14:paraId="3A196309">
            <w:pPr>
              <w:spacing w:line="259" w:lineRule="auto"/>
              <w:ind w:right="2"/>
              <w:jc w:val="center"/>
              <w:rPr>
                <w:sz w:val="24"/>
              </w:rPr>
            </w:pPr>
            <w:r>
              <w:rPr>
                <w:sz w:val="24"/>
              </w:rPr>
              <w:t xml:space="preserve">10% </w:t>
            </w: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7AF91666">
            <w:pPr>
              <w:spacing w:line="259" w:lineRule="auto"/>
              <w:ind w:right="1"/>
              <w:jc w:val="center"/>
              <w:rPr>
                <w:sz w:val="24"/>
              </w:rPr>
            </w:pPr>
            <w:r>
              <w:rPr>
                <w:sz w:val="24"/>
              </w:rPr>
              <w:t xml:space="preserve">100% </w:t>
            </w:r>
          </w:p>
        </w:tc>
      </w:tr>
    </w:tbl>
    <w:p w14:paraId="041A7FB1">
      <w:pPr>
        <w:spacing w:line="360" w:lineRule="auto"/>
        <w:ind w:right="1232"/>
        <w:rPr>
          <w:rFonts w:ascii="黑体" w:hAnsi="黑体" w:eastAsia="黑体" w:cs="宋体"/>
          <w:sz w:val="30"/>
          <w:szCs w:val="30"/>
        </w:rPr>
      </w:pPr>
      <w:r>
        <w:rPr>
          <w:rFonts w:hint="eastAsia" w:ascii="黑体" w:hAnsi="黑体" w:eastAsia="黑体" w:cs="宋体"/>
          <w:sz w:val="30"/>
          <w:szCs w:val="30"/>
        </w:rPr>
        <w:t>九、比赛</w:t>
      </w:r>
      <w:r>
        <w:rPr>
          <w:rFonts w:ascii="黑体" w:hAnsi="黑体" w:eastAsia="黑体" w:cs="宋体"/>
          <w:sz w:val="30"/>
          <w:szCs w:val="30"/>
        </w:rPr>
        <w:t xml:space="preserve">须知 </w:t>
      </w:r>
    </w:p>
    <w:p w14:paraId="07A168B2">
      <w:pPr>
        <w:spacing w:line="360" w:lineRule="auto"/>
        <w:ind w:firstLine="480" w:firstLineChars="200"/>
        <w:rPr>
          <w:sz w:val="24"/>
        </w:rPr>
      </w:pPr>
      <w:r>
        <w:rPr>
          <w:sz w:val="24"/>
        </w:rPr>
        <w:t>按照《</w:t>
      </w:r>
      <w:r>
        <w:rPr>
          <w:rFonts w:hint="eastAsia"/>
          <w:sz w:val="24"/>
          <w:lang w:val="en-US" w:eastAsia="zh-CN"/>
        </w:rPr>
        <w:t>唐山市教育局关于举办</w:t>
      </w:r>
      <w:r>
        <w:rPr>
          <w:sz w:val="24"/>
        </w:rPr>
        <w:t>202</w:t>
      </w:r>
      <w:r>
        <w:rPr>
          <w:rFonts w:hint="eastAsia"/>
          <w:sz w:val="24"/>
          <w:lang w:val="en-US" w:eastAsia="zh-CN"/>
        </w:rPr>
        <w:t>5</w:t>
      </w:r>
      <w:r>
        <w:rPr>
          <w:sz w:val="24"/>
        </w:rPr>
        <w:t>年</w:t>
      </w:r>
      <w:r>
        <w:rPr>
          <w:rFonts w:hint="eastAsia"/>
          <w:sz w:val="24"/>
          <w:lang w:val="en-US" w:eastAsia="zh-CN"/>
        </w:rPr>
        <w:t>全市中等</w:t>
      </w:r>
      <w:r>
        <w:rPr>
          <w:sz w:val="24"/>
        </w:rPr>
        <w:t>职业</w:t>
      </w:r>
      <w:r>
        <w:rPr>
          <w:rFonts w:hint="eastAsia"/>
          <w:sz w:val="24"/>
          <w:lang w:val="en-US" w:eastAsia="zh-CN"/>
        </w:rPr>
        <w:t>学校</w:t>
      </w:r>
      <w:r>
        <w:rPr>
          <w:sz w:val="24"/>
        </w:rPr>
        <w:t>技能</w:t>
      </w:r>
      <w:r>
        <w:rPr>
          <w:rFonts w:hint="eastAsia"/>
          <w:sz w:val="24"/>
          <w:lang w:val="en-US" w:eastAsia="zh-CN"/>
        </w:rPr>
        <w:t>竞赛的通知</w:t>
      </w:r>
      <w:r>
        <w:rPr>
          <w:sz w:val="24"/>
        </w:rPr>
        <w:t>》</w:t>
      </w:r>
      <w:r>
        <w:rPr>
          <w:rFonts w:hint="eastAsia"/>
          <w:sz w:val="24"/>
        </w:rPr>
        <w:t>等</w:t>
      </w:r>
      <w:r>
        <w:rPr>
          <w:sz w:val="24"/>
        </w:rPr>
        <w:t xml:space="preserve">相关制度，分别阐述本赛项参赛队、指导教师、参赛选手、工作人员等应注意的重点事项。对参赛学生重点说明是否需要购买保险，对指导教师重点说明带队和指导要求，对参赛选手重点说明比赛纪律和仪表仪容，对工作人员重点说明工作规范和纪律等。 </w:t>
      </w:r>
    </w:p>
    <w:p w14:paraId="563A1B67">
      <w:pPr>
        <w:spacing w:line="360" w:lineRule="auto"/>
        <w:ind w:firstLine="480" w:firstLineChars="200"/>
        <w:rPr>
          <w:sz w:val="24"/>
        </w:rPr>
      </w:pPr>
      <w:r>
        <w:rPr>
          <w:rFonts w:hint="eastAsia"/>
          <w:sz w:val="24"/>
        </w:rPr>
        <w:t>(</w:t>
      </w:r>
      <w:r>
        <w:rPr>
          <w:sz w:val="24"/>
        </w:rPr>
        <w:t>一</w:t>
      </w:r>
      <w:r>
        <w:rPr>
          <w:rFonts w:hint="eastAsia"/>
          <w:sz w:val="24"/>
        </w:rPr>
        <w:t>)</w:t>
      </w:r>
      <w:r>
        <w:rPr>
          <w:sz w:val="24"/>
        </w:rPr>
        <w:t xml:space="preserve">参赛队须知 </w:t>
      </w:r>
    </w:p>
    <w:p w14:paraId="0E3A14BD">
      <w:pPr>
        <w:spacing w:line="360" w:lineRule="auto"/>
        <w:ind w:firstLine="480" w:firstLineChars="200"/>
        <w:rPr>
          <w:sz w:val="24"/>
        </w:rPr>
      </w:pPr>
      <w:r>
        <w:rPr>
          <w:sz w:val="24"/>
        </w:rPr>
        <w:t xml:space="preserve">1.各参赛队必须为每位参赛选手办理意外伤害险。报到时请出具校方为参赛选手在大赛期间办理的人身意外伤害保险保单复印件或提供校方开具的参赛选手人身意外伤害保险有效证明文件，以便工作人员核验。 </w:t>
      </w:r>
    </w:p>
    <w:p w14:paraId="653A53BA">
      <w:pPr>
        <w:spacing w:line="360" w:lineRule="auto"/>
        <w:ind w:firstLine="480" w:firstLineChars="200"/>
        <w:rPr>
          <w:sz w:val="24"/>
        </w:rPr>
      </w:pPr>
      <w:r>
        <w:rPr>
          <w:sz w:val="24"/>
        </w:rPr>
        <w:t xml:space="preserve">2.参赛队应该参加赛项执委会组织的闭赛式等各项赛事活动。 </w:t>
      </w:r>
    </w:p>
    <w:p w14:paraId="09AAE1D6">
      <w:pPr>
        <w:spacing w:line="360" w:lineRule="auto"/>
        <w:ind w:firstLine="480" w:firstLineChars="200"/>
        <w:rPr>
          <w:sz w:val="24"/>
        </w:rPr>
      </w:pPr>
      <w:r>
        <w:rPr>
          <w:sz w:val="24"/>
        </w:rPr>
        <w:t xml:space="preserve">3.领队须按时参加赛前领队会议，不得无故缺席。 </w:t>
      </w:r>
    </w:p>
    <w:p w14:paraId="7BA68B5B">
      <w:pPr>
        <w:spacing w:line="360" w:lineRule="auto"/>
        <w:ind w:firstLine="480" w:firstLineChars="200"/>
        <w:rPr>
          <w:sz w:val="24"/>
        </w:rPr>
      </w:pPr>
      <w:r>
        <w:rPr>
          <w:sz w:val="24"/>
        </w:rPr>
        <w:t xml:space="preserve">4.领队应积极做好本市参赛队的服务工作，协调参赛队与赛项组织机构及承办院校的对接工作。 </w:t>
      </w:r>
    </w:p>
    <w:p w14:paraId="3F3D203D">
      <w:pPr>
        <w:spacing w:line="360" w:lineRule="auto"/>
        <w:ind w:firstLine="480" w:firstLineChars="200"/>
        <w:rPr>
          <w:sz w:val="24"/>
        </w:rPr>
      </w:pPr>
      <w:r>
        <w:rPr>
          <w:sz w:val="24"/>
        </w:rPr>
        <w:t xml:space="preserve">5.在赛事期间，领队及参赛队其他成员不得私自接触裁判，凡发现有不当行为的，取消其参赛资格，成绩无效。 </w:t>
      </w:r>
    </w:p>
    <w:p w14:paraId="270A9981">
      <w:pPr>
        <w:spacing w:line="360" w:lineRule="auto"/>
        <w:ind w:firstLine="480" w:firstLineChars="200"/>
        <w:rPr>
          <w:sz w:val="24"/>
        </w:rPr>
      </w:pPr>
      <w:r>
        <w:rPr>
          <w:sz w:val="24"/>
        </w:rPr>
        <w:t xml:space="preserve">6.所有参赛人员须按照赛项规程要求按时完成赛项赛后评价工作。 </w:t>
      </w:r>
    </w:p>
    <w:p w14:paraId="5CAFBF6E">
      <w:pPr>
        <w:spacing w:line="360" w:lineRule="auto"/>
        <w:ind w:firstLine="480" w:firstLineChars="200"/>
        <w:rPr>
          <w:sz w:val="24"/>
        </w:rPr>
      </w:pPr>
      <w:r>
        <w:rPr>
          <w:sz w:val="24"/>
        </w:rPr>
        <w:t>7.对于有碍比赛公正和比赛正常进行的参赛队，视其情节轻重，按照《</w:t>
      </w:r>
      <w:r>
        <w:rPr>
          <w:rFonts w:hint="eastAsia"/>
          <w:sz w:val="24"/>
          <w:lang w:val="en-US" w:eastAsia="zh-CN"/>
        </w:rPr>
        <w:t>唐山市教育局关于举办</w:t>
      </w:r>
      <w:r>
        <w:rPr>
          <w:sz w:val="24"/>
        </w:rPr>
        <w:t>202</w:t>
      </w:r>
      <w:r>
        <w:rPr>
          <w:rFonts w:hint="eastAsia"/>
          <w:sz w:val="24"/>
          <w:lang w:val="en-US" w:eastAsia="zh-CN"/>
        </w:rPr>
        <w:t>5</w:t>
      </w:r>
      <w:r>
        <w:rPr>
          <w:sz w:val="24"/>
        </w:rPr>
        <w:t>年</w:t>
      </w:r>
      <w:r>
        <w:rPr>
          <w:rFonts w:hint="eastAsia"/>
          <w:sz w:val="24"/>
          <w:lang w:val="en-US" w:eastAsia="zh-CN"/>
        </w:rPr>
        <w:t>全市中等</w:t>
      </w:r>
      <w:r>
        <w:rPr>
          <w:sz w:val="24"/>
        </w:rPr>
        <w:t>职业</w:t>
      </w:r>
      <w:r>
        <w:rPr>
          <w:rFonts w:hint="eastAsia"/>
          <w:sz w:val="24"/>
          <w:lang w:val="en-US" w:eastAsia="zh-CN"/>
        </w:rPr>
        <w:t>学校</w:t>
      </w:r>
      <w:r>
        <w:rPr>
          <w:sz w:val="24"/>
        </w:rPr>
        <w:t>技能</w:t>
      </w:r>
      <w:r>
        <w:rPr>
          <w:rFonts w:hint="eastAsia"/>
          <w:sz w:val="24"/>
          <w:lang w:val="en-US" w:eastAsia="zh-CN"/>
        </w:rPr>
        <w:t>竞赛的通知</w:t>
      </w:r>
      <w:r>
        <w:rPr>
          <w:sz w:val="24"/>
        </w:rPr>
        <w:t>》给予警告、取消比赛成绩、通报批评等处理。其中，对于比赛过程及有关活动造成恶劣影响的，以适当方式通告参赛</w:t>
      </w:r>
      <w:r>
        <w:rPr>
          <w:rFonts w:hint="eastAsia"/>
          <w:sz w:val="24"/>
          <w:lang w:val="en-US" w:eastAsia="zh-CN"/>
        </w:rPr>
        <w:t>学校</w:t>
      </w:r>
      <w:r>
        <w:rPr>
          <w:sz w:val="24"/>
        </w:rPr>
        <w:t>或其所属地区的教育行政主管部门依据有关规定给予行政或纪律处分，同时停止该院校参加</w:t>
      </w:r>
      <w:r>
        <w:rPr>
          <w:rFonts w:hint="eastAsia"/>
          <w:sz w:val="24"/>
          <w:lang w:val="en-US" w:eastAsia="zh-CN"/>
        </w:rPr>
        <w:t>唐山市中等</w:t>
      </w:r>
      <w:r>
        <w:rPr>
          <w:sz w:val="24"/>
        </w:rPr>
        <w:t>职业</w:t>
      </w:r>
      <w:r>
        <w:rPr>
          <w:rFonts w:hint="eastAsia"/>
          <w:sz w:val="24"/>
          <w:lang w:val="en-US" w:eastAsia="zh-CN"/>
        </w:rPr>
        <w:t>学校</w:t>
      </w:r>
      <w:r>
        <w:rPr>
          <w:sz w:val="24"/>
        </w:rPr>
        <w:t>技能</w:t>
      </w:r>
      <w:r>
        <w:rPr>
          <w:rFonts w:hint="eastAsia"/>
          <w:sz w:val="24"/>
          <w:lang w:val="en-US" w:eastAsia="zh-CN"/>
        </w:rPr>
        <w:t>竞赛</w:t>
      </w:r>
      <w:r>
        <w:rPr>
          <w:sz w:val="24"/>
        </w:rPr>
        <w:t xml:space="preserve">1 年。涉及刑事犯罪的移交司法机关处理。 </w:t>
      </w:r>
    </w:p>
    <w:p w14:paraId="5D4FC96F">
      <w:pPr>
        <w:spacing w:line="360" w:lineRule="auto"/>
        <w:ind w:firstLine="480" w:firstLineChars="200"/>
        <w:rPr>
          <w:sz w:val="24"/>
        </w:rPr>
      </w:pPr>
      <w:r>
        <w:rPr>
          <w:rFonts w:hint="eastAsia"/>
          <w:sz w:val="24"/>
        </w:rPr>
        <w:t>(二)</w:t>
      </w:r>
      <w:r>
        <w:rPr>
          <w:sz w:val="24"/>
        </w:rPr>
        <w:t xml:space="preserve">指导教师须知 </w:t>
      </w:r>
    </w:p>
    <w:p w14:paraId="58EF856F">
      <w:pPr>
        <w:spacing w:line="360" w:lineRule="auto"/>
        <w:ind w:firstLine="480" w:firstLineChars="200"/>
        <w:rPr>
          <w:sz w:val="24"/>
        </w:rPr>
      </w:pPr>
      <w:r>
        <w:rPr>
          <w:sz w:val="24"/>
        </w:rPr>
        <w:t xml:space="preserve">1.指导教师应该根据赛项规程要求做好参赛选手保险办理工作，并积极做好选手的安全教育。 </w:t>
      </w:r>
    </w:p>
    <w:p w14:paraId="77DED28E">
      <w:pPr>
        <w:spacing w:line="360" w:lineRule="auto"/>
        <w:ind w:firstLine="480" w:firstLineChars="200"/>
        <w:rPr>
          <w:sz w:val="24"/>
        </w:rPr>
      </w:pPr>
      <w:r>
        <w:rPr>
          <w:rFonts w:hint="eastAsia"/>
          <w:sz w:val="24"/>
        </w:rPr>
        <w:t>2</w:t>
      </w:r>
      <w:r>
        <w:rPr>
          <w:sz w:val="24"/>
        </w:rPr>
        <w:t xml:space="preserve">.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 </w:t>
      </w:r>
    </w:p>
    <w:p w14:paraId="3A408C9E">
      <w:pPr>
        <w:spacing w:line="360" w:lineRule="auto"/>
        <w:ind w:firstLine="480" w:firstLineChars="200"/>
        <w:rPr>
          <w:sz w:val="24"/>
        </w:rPr>
      </w:pPr>
      <w:r>
        <w:rPr>
          <w:rFonts w:hint="eastAsia"/>
          <w:sz w:val="24"/>
        </w:rPr>
        <w:t>(三)</w:t>
      </w:r>
      <w:r>
        <w:rPr>
          <w:sz w:val="24"/>
        </w:rPr>
        <w:t xml:space="preserve">参赛选手须知 </w:t>
      </w:r>
    </w:p>
    <w:p w14:paraId="595F6D20">
      <w:pPr>
        <w:spacing w:line="360" w:lineRule="auto"/>
        <w:ind w:firstLine="480" w:firstLineChars="200"/>
        <w:rPr>
          <w:sz w:val="24"/>
        </w:rPr>
      </w:pPr>
      <w:r>
        <w:rPr>
          <w:sz w:val="24"/>
        </w:rPr>
        <w:t xml:space="preserve">1.参赛选手应该文明参赛，服从裁判统一指挥，尊重赛场工作人员，自觉维护赛场秩序。如参赛选手因对裁判不服从而停止比赛，则以弃权处理。 </w:t>
      </w:r>
    </w:p>
    <w:p w14:paraId="3CEA5BC3">
      <w:pPr>
        <w:spacing w:line="360" w:lineRule="auto"/>
        <w:ind w:firstLine="480" w:firstLineChars="200"/>
        <w:rPr>
          <w:sz w:val="24"/>
        </w:rPr>
      </w:pPr>
      <w:r>
        <w:rPr>
          <w:sz w:val="24"/>
        </w:rPr>
        <w:t xml:space="preserve">2.参赛选手须严格遵守竞赛规程规定的安全操作流程，防止发生安全事故。 </w:t>
      </w:r>
    </w:p>
    <w:p w14:paraId="05CF1A57">
      <w:pPr>
        <w:spacing w:line="360" w:lineRule="auto"/>
        <w:ind w:firstLine="480" w:firstLineChars="200"/>
        <w:rPr>
          <w:sz w:val="24"/>
        </w:rPr>
      </w:pPr>
      <w:r>
        <w:rPr>
          <w:sz w:val="24"/>
        </w:rPr>
        <w:t xml:space="preserve">3.参赛选手应该爱护赛场使用的设备、仪器等，不得人为损坏比赛所使用的仪器设备。 </w:t>
      </w:r>
    </w:p>
    <w:p w14:paraId="75322E8E">
      <w:pPr>
        <w:spacing w:line="360" w:lineRule="auto"/>
        <w:ind w:firstLine="480" w:firstLineChars="200"/>
        <w:rPr>
          <w:sz w:val="24"/>
        </w:rPr>
      </w:pPr>
      <w:r>
        <w:rPr>
          <w:sz w:val="24"/>
        </w:rPr>
        <w:t xml:space="preserve">4.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 </w:t>
      </w:r>
    </w:p>
    <w:p w14:paraId="2130EB35">
      <w:pPr>
        <w:spacing w:line="360" w:lineRule="auto"/>
        <w:ind w:firstLine="480" w:firstLineChars="200"/>
        <w:rPr>
          <w:sz w:val="24"/>
        </w:rPr>
      </w:pPr>
      <w:r>
        <w:rPr>
          <w:sz w:val="24"/>
        </w:rPr>
        <w:t xml:space="preserve">5.参赛选手对于认为有影响个人比赛成绩的裁判行为或设备故障等，应向指导老师反映，由指导老师按大赛制度规定进行申诉。参赛选手不得利用比赛相关的微信群、QQ 群发表虚假信息和不当言论。 </w:t>
      </w:r>
    </w:p>
    <w:p w14:paraId="6CBC2033">
      <w:pPr>
        <w:spacing w:line="360" w:lineRule="auto"/>
        <w:ind w:firstLine="480" w:firstLineChars="200"/>
        <w:rPr>
          <w:sz w:val="24"/>
        </w:rPr>
      </w:pPr>
      <w:r>
        <w:rPr>
          <w:rFonts w:hint="eastAsia"/>
          <w:sz w:val="24"/>
        </w:rPr>
        <w:t>(四)</w:t>
      </w:r>
      <w:r>
        <w:rPr>
          <w:sz w:val="24"/>
        </w:rPr>
        <w:t xml:space="preserve">工作人员须知 </w:t>
      </w:r>
    </w:p>
    <w:p w14:paraId="082C3D77">
      <w:pPr>
        <w:spacing w:line="360" w:lineRule="auto"/>
        <w:ind w:firstLine="480" w:firstLineChars="200"/>
        <w:rPr>
          <w:sz w:val="24"/>
        </w:rPr>
      </w:pPr>
      <w:r>
        <w:rPr>
          <w:sz w:val="24"/>
        </w:rPr>
        <w:t xml:space="preserve">1.工作人员必须服从赛项组委会统一指挥，佩戴工作人员标识，认真履行职责，做好服务赛场、服务选手的工作。 </w:t>
      </w:r>
    </w:p>
    <w:p w14:paraId="243EB84D">
      <w:pPr>
        <w:spacing w:line="360" w:lineRule="auto"/>
        <w:ind w:firstLine="480" w:firstLineChars="200"/>
        <w:rPr>
          <w:sz w:val="24"/>
        </w:rPr>
      </w:pPr>
      <w:r>
        <w:rPr>
          <w:sz w:val="24"/>
        </w:rPr>
        <w:t xml:space="preserve">2.工作人员按照分工准时上岗，不得擅自离岗，应认真履行各自的工作职责，保证竞赛工作的顺利进行。 </w:t>
      </w:r>
    </w:p>
    <w:p w14:paraId="1531330C">
      <w:pPr>
        <w:spacing w:line="360" w:lineRule="auto"/>
        <w:ind w:firstLine="480" w:firstLineChars="200"/>
        <w:rPr>
          <w:sz w:val="24"/>
        </w:rPr>
      </w:pPr>
      <w:r>
        <w:rPr>
          <w:sz w:val="24"/>
        </w:rPr>
        <w:t xml:space="preserve">3.工作人员应在规定的区域内工作，未经许可，不得擅自进入竞赛场地。如需进场，需经过裁判长同意，核准证件，有裁判跟随入场。 </w:t>
      </w:r>
    </w:p>
    <w:p w14:paraId="1B801B5E">
      <w:pPr>
        <w:spacing w:line="360" w:lineRule="auto"/>
        <w:ind w:firstLine="480" w:firstLineChars="200"/>
        <w:rPr>
          <w:sz w:val="24"/>
        </w:rPr>
      </w:pPr>
      <w:r>
        <w:rPr>
          <w:sz w:val="24"/>
        </w:rPr>
        <w:t xml:space="preserve">4.如遇突发事件，须及时向裁判长报告，同时做好疏导工作，避免重大事故发生，确保竞赛圆满成功。 </w:t>
      </w:r>
    </w:p>
    <w:p w14:paraId="1CA6ADFB">
      <w:pPr>
        <w:spacing w:line="360" w:lineRule="auto"/>
        <w:ind w:firstLine="480" w:firstLineChars="200"/>
        <w:rPr>
          <w:sz w:val="24"/>
        </w:rPr>
      </w:pPr>
      <w:r>
        <w:rPr>
          <w:sz w:val="24"/>
        </w:rPr>
        <w:t xml:space="preserve">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 </w:t>
      </w:r>
    </w:p>
    <w:p w14:paraId="416D3EF0">
      <w:pPr>
        <w:spacing w:line="360" w:lineRule="auto"/>
        <w:ind w:firstLine="480" w:firstLineChars="200"/>
        <w:rPr>
          <w:sz w:val="24"/>
        </w:rPr>
      </w:pPr>
      <w:r>
        <w:rPr>
          <w:sz w:val="24"/>
        </w:rPr>
        <w:t xml:space="preserve">6.做好赛场记录，并签名承担自己的责任。 </w:t>
      </w:r>
    </w:p>
    <w:p w14:paraId="17146557">
      <w:pPr>
        <w:spacing w:line="360" w:lineRule="auto"/>
        <w:ind w:right="1232"/>
        <w:rPr>
          <w:rFonts w:ascii="黑体" w:hAnsi="黑体" w:eastAsia="黑体" w:cs="宋体"/>
          <w:sz w:val="30"/>
          <w:szCs w:val="30"/>
        </w:rPr>
      </w:pPr>
      <w:r>
        <w:rPr>
          <w:rFonts w:hint="eastAsia" w:ascii="黑体" w:hAnsi="黑体" w:eastAsia="黑体" w:cs="宋体"/>
          <w:sz w:val="30"/>
          <w:szCs w:val="30"/>
        </w:rPr>
        <w:t>十、奖项设定</w:t>
      </w:r>
    </w:p>
    <w:p w14:paraId="04808084">
      <w:pPr>
        <w:spacing w:line="360" w:lineRule="auto"/>
        <w:ind w:firstLine="480" w:firstLineChars="200"/>
        <w:rPr>
          <w:sz w:val="24"/>
        </w:rPr>
      </w:pPr>
      <w:r>
        <w:rPr>
          <w:rFonts w:hint="eastAsia"/>
          <w:sz w:val="24"/>
        </w:rPr>
        <w:t>根据竞赛成绩，从高到低排序，团体赛按参赛队的数量，其中10%设一等奖，20%设二等奖，30%设三等奖(小数点后四舍五入)。</w:t>
      </w:r>
    </w:p>
    <w:p w14:paraId="50CF0D7C">
      <w:pPr>
        <w:spacing w:line="360" w:lineRule="auto"/>
        <w:ind w:right="1232"/>
        <w:rPr>
          <w:rFonts w:ascii="黑体" w:hAnsi="黑体" w:eastAsia="黑体" w:cs="宋体"/>
          <w:sz w:val="30"/>
          <w:szCs w:val="30"/>
        </w:rPr>
      </w:pPr>
      <w:r>
        <w:rPr>
          <w:rFonts w:hint="eastAsia" w:ascii="黑体" w:hAnsi="黑体" w:eastAsia="黑体" w:cs="宋体"/>
          <w:sz w:val="30"/>
          <w:szCs w:val="30"/>
        </w:rPr>
        <w:t xml:space="preserve">十一、技术规范 </w:t>
      </w:r>
    </w:p>
    <w:p w14:paraId="32453D77">
      <w:pPr>
        <w:spacing w:line="360" w:lineRule="auto"/>
        <w:ind w:firstLine="480" w:firstLineChars="200"/>
        <w:rPr>
          <w:sz w:val="24"/>
        </w:rPr>
      </w:pPr>
      <w:r>
        <w:rPr>
          <w:sz w:val="24"/>
        </w:rPr>
        <w:t xml:space="preserve">《冶金行业职业技能鉴定标准—炼钢工》 </w:t>
      </w:r>
    </w:p>
    <w:p w14:paraId="2553DBE5">
      <w:pPr>
        <w:spacing w:line="360" w:lineRule="auto"/>
        <w:ind w:firstLine="480" w:firstLineChars="200"/>
        <w:rPr>
          <w:sz w:val="24"/>
        </w:rPr>
      </w:pPr>
      <w:r>
        <w:rPr>
          <w:sz w:val="24"/>
        </w:rPr>
        <w:t xml:space="preserve">《有色金属行业职业技能鉴定标准—火法冶炼工》《有色金属行业职业技能鉴定标准—湿法冶炼工》 </w:t>
      </w:r>
    </w:p>
    <w:p w14:paraId="1D27959E">
      <w:pPr>
        <w:spacing w:line="360" w:lineRule="auto"/>
        <w:ind w:firstLine="480" w:firstLineChars="200"/>
        <w:rPr>
          <w:sz w:val="24"/>
        </w:rPr>
      </w:pPr>
      <w:r>
        <w:rPr>
          <w:sz w:val="24"/>
        </w:rPr>
        <w:t xml:space="preserve">《有色金属行业职业技能鉴定标准—电解精炼工》 </w:t>
      </w:r>
    </w:p>
    <w:p w14:paraId="12A3956F">
      <w:pPr>
        <w:spacing w:line="360" w:lineRule="auto"/>
        <w:ind w:firstLine="480" w:firstLineChars="200"/>
        <w:rPr>
          <w:sz w:val="24"/>
        </w:rPr>
      </w:pPr>
      <w:r>
        <w:rPr>
          <w:sz w:val="24"/>
        </w:rPr>
        <w:t>《国家职业技能标准—水泥生产工</w:t>
      </w:r>
      <w:r>
        <w:rPr>
          <w:rFonts w:hint="eastAsia"/>
          <w:sz w:val="24"/>
        </w:rPr>
        <w:t>(</w:t>
      </w:r>
      <w:r>
        <w:rPr>
          <w:sz w:val="24"/>
        </w:rPr>
        <w:t>2020 版</w:t>
      </w:r>
      <w:r>
        <w:rPr>
          <w:rFonts w:hint="eastAsia"/>
          <w:sz w:val="24"/>
        </w:rPr>
        <w:t>)</w:t>
      </w:r>
      <w:r>
        <w:rPr>
          <w:sz w:val="24"/>
        </w:rPr>
        <w:t xml:space="preserve">》 </w:t>
      </w:r>
    </w:p>
    <w:p w14:paraId="28A87E4B">
      <w:pPr>
        <w:spacing w:line="360" w:lineRule="auto"/>
        <w:ind w:firstLine="480" w:firstLineChars="200"/>
        <w:rPr>
          <w:sz w:val="24"/>
        </w:rPr>
      </w:pPr>
      <w:r>
        <w:rPr>
          <w:sz w:val="24"/>
        </w:rPr>
        <w:t xml:space="preserve">《中职专业教学标准—钢铁冶炼》 </w:t>
      </w:r>
    </w:p>
    <w:p w14:paraId="6301DB36">
      <w:pPr>
        <w:spacing w:line="360" w:lineRule="auto"/>
        <w:ind w:firstLine="480" w:firstLineChars="200"/>
        <w:rPr>
          <w:sz w:val="24"/>
        </w:rPr>
      </w:pPr>
      <w:r>
        <w:rPr>
          <w:sz w:val="24"/>
        </w:rPr>
        <w:t xml:space="preserve">《中职专业教学标准—有色金属冶炼》 </w:t>
      </w:r>
    </w:p>
    <w:p w14:paraId="594389E5">
      <w:pPr>
        <w:spacing w:line="360" w:lineRule="auto"/>
        <w:ind w:firstLine="480" w:firstLineChars="200"/>
        <w:rPr>
          <w:sz w:val="24"/>
        </w:rPr>
      </w:pPr>
      <w:r>
        <w:rPr>
          <w:sz w:val="24"/>
        </w:rPr>
        <w:t xml:space="preserve">《中职专业教学标准—钢铁装备运行与维护》 </w:t>
      </w:r>
    </w:p>
    <w:p w14:paraId="0F0E09E2">
      <w:pPr>
        <w:spacing w:line="360" w:lineRule="auto"/>
        <w:ind w:firstLine="480" w:firstLineChars="200"/>
        <w:rPr>
          <w:sz w:val="24"/>
        </w:rPr>
      </w:pPr>
      <w:r>
        <w:rPr>
          <w:sz w:val="24"/>
        </w:rPr>
        <w:t xml:space="preserve">《中职专业教学标准—有色装备运行与维护》 </w:t>
      </w:r>
    </w:p>
    <w:p w14:paraId="289DE7F6">
      <w:pPr>
        <w:spacing w:line="360" w:lineRule="auto"/>
        <w:ind w:firstLine="480" w:firstLineChars="200"/>
        <w:rPr>
          <w:sz w:val="24"/>
        </w:rPr>
      </w:pPr>
      <w:r>
        <w:rPr>
          <w:sz w:val="24"/>
        </w:rPr>
        <w:t xml:space="preserve">《中职专业教学标准—建筑与工程材料》 </w:t>
      </w:r>
    </w:p>
    <w:p w14:paraId="4CD89F6F">
      <w:pPr>
        <w:spacing w:line="360" w:lineRule="auto"/>
        <w:ind w:firstLine="480" w:firstLineChars="200"/>
        <w:rPr>
          <w:sz w:val="24"/>
        </w:rPr>
      </w:pPr>
      <w:r>
        <w:rPr>
          <w:sz w:val="24"/>
        </w:rPr>
        <w:t>《通用硅酸盐水泥 GB 174-2007》</w:t>
      </w:r>
    </w:p>
    <w:p w14:paraId="2D6941B6">
      <w:pPr>
        <w:spacing w:line="360" w:lineRule="auto"/>
        <w:ind w:right="1232"/>
        <w:rPr>
          <w:rFonts w:ascii="黑体" w:hAnsi="黑体" w:eastAsia="黑体" w:cs="宋体"/>
          <w:sz w:val="30"/>
          <w:szCs w:val="30"/>
        </w:rPr>
      </w:pPr>
      <w:r>
        <w:rPr>
          <w:rFonts w:hint="eastAsia" w:ascii="黑体" w:hAnsi="黑体" w:eastAsia="黑体" w:cs="宋体"/>
          <w:sz w:val="30"/>
          <w:szCs w:val="30"/>
        </w:rPr>
        <w:t>十二、赛场预案</w:t>
      </w:r>
    </w:p>
    <w:p w14:paraId="3A0ABB89">
      <w:pPr>
        <w:spacing w:line="360" w:lineRule="auto"/>
        <w:ind w:firstLine="480" w:firstLineChars="200"/>
        <w:rPr>
          <w:sz w:val="24"/>
        </w:rPr>
      </w:pPr>
      <w:r>
        <w:rPr>
          <w:rFonts w:hint="eastAsia"/>
          <w:sz w:val="24"/>
        </w:rPr>
        <w:t>赛前成立承办校领导等相关人员组成的应急处理小组，比赛期间发生任何意外事故(如赛卷、设备、安全等)，发现者应第一时间报告专家组长，立即采取措施避免事态扩大，启动应急预案予以解决并报告大赛组委会。赛项出现重大安全问题可以停赛，是否停赛由赛项组委会决定。事后，应向大赛组委会报告详细情况。</w:t>
      </w:r>
    </w:p>
    <w:p w14:paraId="48C93722">
      <w:pPr>
        <w:spacing w:line="360" w:lineRule="auto"/>
        <w:ind w:right="1232"/>
        <w:rPr>
          <w:rFonts w:ascii="黑体" w:hAnsi="黑体" w:eastAsia="黑体" w:cs="宋体"/>
          <w:sz w:val="30"/>
          <w:szCs w:val="30"/>
        </w:rPr>
      </w:pPr>
      <w:r>
        <w:rPr>
          <w:rFonts w:hint="eastAsia" w:ascii="黑体" w:hAnsi="黑体" w:eastAsia="黑体" w:cs="宋体"/>
          <w:sz w:val="30"/>
          <w:szCs w:val="30"/>
        </w:rPr>
        <w:t>十三、赛项安全</w:t>
      </w:r>
    </w:p>
    <w:p w14:paraId="6A54EE50">
      <w:pPr>
        <w:spacing w:line="360" w:lineRule="auto"/>
        <w:ind w:firstLine="480" w:firstLineChars="200"/>
        <w:rPr>
          <w:sz w:val="24"/>
        </w:rPr>
      </w:pPr>
      <w:r>
        <w:rPr>
          <w:rFonts w:hint="eastAsia"/>
          <w:sz w:val="24"/>
        </w:rPr>
        <w:t>赛项安全是技能竞赛一切工作顺利开展的先决条件，是赛项筹备和运行工作必须考虑的核心问题。采取切实有效措施保证大赛期间参赛选手、指导教师、裁判员、工作人员及观众的人身安全。</w:t>
      </w:r>
    </w:p>
    <w:p w14:paraId="57476088">
      <w:pPr>
        <w:spacing w:line="360" w:lineRule="auto"/>
        <w:ind w:firstLine="480" w:firstLineChars="200"/>
        <w:rPr>
          <w:sz w:val="24"/>
        </w:rPr>
      </w:pPr>
      <w:r>
        <w:rPr>
          <w:rFonts w:hint="eastAsia"/>
          <w:sz w:val="24"/>
        </w:rPr>
        <w:t>(一)参赛队责任</w:t>
      </w:r>
    </w:p>
    <w:p w14:paraId="684F29B4">
      <w:pPr>
        <w:spacing w:line="360" w:lineRule="auto"/>
        <w:ind w:firstLine="480" w:firstLineChars="200"/>
        <w:rPr>
          <w:sz w:val="24"/>
        </w:rPr>
      </w:pPr>
      <w:r>
        <w:rPr>
          <w:rFonts w:hint="eastAsia"/>
          <w:sz w:val="24"/>
        </w:rPr>
        <w:t>1.各学校组织参赛队时，须安排除参赛选手、指导教师、领队以外的随行人员购买大赛期间的人身意外伤害保险。</w:t>
      </w:r>
    </w:p>
    <w:p w14:paraId="3FFFD899">
      <w:pPr>
        <w:spacing w:line="360" w:lineRule="auto"/>
        <w:ind w:firstLine="480" w:firstLineChars="200"/>
        <w:rPr>
          <w:sz w:val="24"/>
        </w:rPr>
      </w:pPr>
      <w:r>
        <w:rPr>
          <w:rFonts w:hint="eastAsia"/>
          <w:sz w:val="24"/>
        </w:rPr>
        <w:t>2.各学校参赛队组成后，须制定相关管理制度，并对所有选手、指导教师进</w:t>
      </w:r>
    </w:p>
    <w:p w14:paraId="5525493C">
      <w:pPr>
        <w:spacing w:line="360" w:lineRule="auto"/>
        <w:rPr>
          <w:sz w:val="24"/>
        </w:rPr>
      </w:pPr>
      <w:r>
        <w:rPr>
          <w:rFonts w:hint="eastAsia"/>
          <w:sz w:val="24"/>
        </w:rPr>
        <w:t>行安全教育。</w:t>
      </w:r>
    </w:p>
    <w:p w14:paraId="127772F8">
      <w:pPr>
        <w:spacing w:line="360" w:lineRule="auto"/>
        <w:ind w:firstLine="480" w:firstLineChars="200"/>
        <w:rPr>
          <w:sz w:val="24"/>
        </w:rPr>
      </w:pPr>
      <w:r>
        <w:rPr>
          <w:rFonts w:hint="eastAsia"/>
          <w:sz w:val="24"/>
        </w:rPr>
        <w:t>3.各参赛队伍须加强对参与比赛人员的安全管理，实现与赛场安全管理对接。</w:t>
      </w:r>
    </w:p>
    <w:p w14:paraId="0B82445A">
      <w:pPr>
        <w:spacing w:line="360" w:lineRule="auto"/>
        <w:ind w:firstLine="480" w:firstLineChars="200"/>
        <w:rPr>
          <w:sz w:val="24"/>
        </w:rPr>
      </w:pPr>
      <w:r>
        <w:rPr>
          <w:rFonts w:hint="eastAsia"/>
          <w:sz w:val="24"/>
        </w:rPr>
        <w:t>(二)应急处理</w:t>
      </w:r>
    </w:p>
    <w:p w14:paraId="1F84E346">
      <w:pPr>
        <w:spacing w:line="360" w:lineRule="auto"/>
        <w:ind w:firstLine="480" w:firstLineChars="200"/>
        <w:rPr>
          <w:sz w:val="24"/>
        </w:rPr>
      </w:pPr>
      <w:r>
        <w:rPr>
          <w:rFonts w:hint="eastAsia"/>
          <w:sz w:val="24"/>
        </w:rPr>
        <w:t>比赛期间发生意外事故，发现者应第一时间报告赛项专家组长，同时采取措施避免事态扩大，立即启动预案予以解决并报告组委会。赛项出现重大安全问题</w:t>
      </w:r>
    </w:p>
    <w:p w14:paraId="480FBF35">
      <w:pPr>
        <w:spacing w:line="360" w:lineRule="auto"/>
        <w:ind w:firstLine="480" w:firstLineChars="200"/>
        <w:rPr>
          <w:sz w:val="24"/>
        </w:rPr>
      </w:pPr>
      <w:r>
        <w:rPr>
          <w:rFonts w:hint="eastAsia"/>
          <w:sz w:val="24"/>
        </w:rPr>
        <w:t>可以停赛，应向组委会报告详细情况。</w:t>
      </w:r>
    </w:p>
    <w:p w14:paraId="1F2738BC">
      <w:pPr>
        <w:spacing w:line="360" w:lineRule="auto"/>
        <w:ind w:firstLine="480" w:firstLineChars="200"/>
        <w:rPr>
          <w:sz w:val="24"/>
        </w:rPr>
      </w:pPr>
      <w:r>
        <w:rPr>
          <w:rFonts w:hint="eastAsia"/>
          <w:sz w:val="24"/>
        </w:rPr>
        <w:t>(三)处罚措施</w:t>
      </w:r>
    </w:p>
    <w:p w14:paraId="3EB84E07">
      <w:pPr>
        <w:spacing w:line="360" w:lineRule="auto"/>
        <w:ind w:firstLine="480" w:firstLineChars="200"/>
        <w:rPr>
          <w:sz w:val="24"/>
        </w:rPr>
      </w:pPr>
      <w:r>
        <w:rPr>
          <w:rFonts w:hint="eastAsia"/>
          <w:sz w:val="24"/>
        </w:rPr>
        <w:t>1.因参赛队伍原因造成重大安全事故的，取消其获奖资格。</w:t>
      </w:r>
    </w:p>
    <w:p w14:paraId="3F963231">
      <w:pPr>
        <w:spacing w:line="360" w:lineRule="auto"/>
        <w:ind w:firstLine="480" w:firstLineChars="200"/>
        <w:rPr>
          <w:sz w:val="24"/>
        </w:rPr>
      </w:pPr>
      <w:r>
        <w:rPr>
          <w:rFonts w:hint="eastAsia"/>
          <w:sz w:val="24"/>
        </w:rPr>
        <w:t>2.参赛队伍有发生重大安全事故隐患，经赛场工作人员提示、警告无效的，可取消其继续比赛的资格。</w:t>
      </w:r>
    </w:p>
    <w:p w14:paraId="00105EDE">
      <w:pPr>
        <w:spacing w:line="360" w:lineRule="auto"/>
        <w:ind w:firstLine="480" w:firstLineChars="200"/>
        <w:rPr>
          <w:sz w:val="24"/>
        </w:rPr>
      </w:pPr>
      <w:r>
        <w:rPr>
          <w:rFonts w:hint="eastAsia"/>
          <w:sz w:val="24"/>
        </w:rPr>
        <w:t>3.赛场工作人员违规，按照相应的制度追究责任。情节恶劣并造成重大安全</w:t>
      </w:r>
    </w:p>
    <w:p w14:paraId="0F140EB1">
      <w:pPr>
        <w:spacing w:line="360" w:lineRule="auto"/>
        <w:rPr>
          <w:sz w:val="24"/>
        </w:rPr>
      </w:pPr>
      <w:r>
        <w:rPr>
          <w:rFonts w:hint="eastAsia"/>
          <w:sz w:val="24"/>
        </w:rPr>
        <w:t>事故的，由司法机关追究相应法律责任。</w:t>
      </w:r>
    </w:p>
    <w:p w14:paraId="69A4E2E3">
      <w:pPr>
        <w:spacing w:line="360" w:lineRule="auto"/>
        <w:ind w:firstLine="480" w:firstLineChars="200"/>
        <w:rPr>
          <w:sz w:val="24"/>
        </w:rPr>
      </w:pPr>
      <w:r>
        <w:rPr>
          <w:sz w:val="24"/>
        </w:rPr>
        <w:t>4.本技术文件的最终解释权归赛项组织委员会。</w:t>
      </w:r>
    </w:p>
    <w:p w14:paraId="5E4813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193AB"/>
    <w:multiLevelType w:val="singleLevel"/>
    <w:tmpl w:val="EAF193AB"/>
    <w:lvl w:ilvl="0" w:tentative="0">
      <w:start w:val="2"/>
      <w:numFmt w:val="chineseCounting"/>
      <w:lvlText w:val="(%1)"/>
      <w:lvlJc w:val="left"/>
      <w:pPr>
        <w:tabs>
          <w:tab w:val="left" w:pos="312"/>
        </w:tabs>
      </w:pPr>
      <w:rPr>
        <w:rFonts w:hint="eastAsia"/>
      </w:rPr>
    </w:lvl>
  </w:abstractNum>
  <w:abstractNum w:abstractNumId="1">
    <w:nsid w:val="F4E591EF"/>
    <w:multiLevelType w:val="singleLevel"/>
    <w:tmpl w:val="F4E591EF"/>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8C"/>
    <w:rsid w:val="00055708"/>
    <w:rsid w:val="00055C49"/>
    <w:rsid w:val="000D41F1"/>
    <w:rsid w:val="00115AFB"/>
    <w:rsid w:val="00144B8C"/>
    <w:rsid w:val="001C5249"/>
    <w:rsid w:val="001E0470"/>
    <w:rsid w:val="001E098C"/>
    <w:rsid w:val="001E7F50"/>
    <w:rsid w:val="001F7F6B"/>
    <w:rsid w:val="00317B23"/>
    <w:rsid w:val="003C199B"/>
    <w:rsid w:val="004011FA"/>
    <w:rsid w:val="0040517B"/>
    <w:rsid w:val="00460C50"/>
    <w:rsid w:val="004B70ED"/>
    <w:rsid w:val="0050029F"/>
    <w:rsid w:val="006B0969"/>
    <w:rsid w:val="006E10E9"/>
    <w:rsid w:val="007118F3"/>
    <w:rsid w:val="00791179"/>
    <w:rsid w:val="007F76CF"/>
    <w:rsid w:val="00812A20"/>
    <w:rsid w:val="00825D26"/>
    <w:rsid w:val="00850E3B"/>
    <w:rsid w:val="00884C65"/>
    <w:rsid w:val="0088664D"/>
    <w:rsid w:val="0089757E"/>
    <w:rsid w:val="008B0507"/>
    <w:rsid w:val="00931104"/>
    <w:rsid w:val="009B469C"/>
    <w:rsid w:val="009D6670"/>
    <w:rsid w:val="00AB6EE3"/>
    <w:rsid w:val="00B22916"/>
    <w:rsid w:val="00B4740A"/>
    <w:rsid w:val="00B56F29"/>
    <w:rsid w:val="00B71807"/>
    <w:rsid w:val="00BA6802"/>
    <w:rsid w:val="00CF1A22"/>
    <w:rsid w:val="00D405AB"/>
    <w:rsid w:val="00D557EC"/>
    <w:rsid w:val="00D74373"/>
    <w:rsid w:val="00DF1585"/>
    <w:rsid w:val="00E24B81"/>
    <w:rsid w:val="00E26B33"/>
    <w:rsid w:val="00E601CD"/>
    <w:rsid w:val="00F15AF8"/>
    <w:rsid w:val="00F910D7"/>
    <w:rsid w:val="105448AB"/>
    <w:rsid w:val="16E552EE"/>
    <w:rsid w:val="2F9D6F21"/>
    <w:rsid w:val="32A86D2A"/>
    <w:rsid w:val="3B0532F1"/>
    <w:rsid w:val="403949C5"/>
    <w:rsid w:val="49865F45"/>
    <w:rsid w:val="58C201EB"/>
    <w:rsid w:val="593E329C"/>
    <w:rsid w:val="76732CAD"/>
    <w:rsid w:val="7E7F3987"/>
    <w:rsid w:val="7FAF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table" w:customStyle="1" w:styleId="8">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5840</Words>
  <Characters>6238</Characters>
  <Lines>48</Lines>
  <Paragraphs>13</Paragraphs>
  <TotalTime>5</TotalTime>
  <ScaleCrop>false</ScaleCrop>
  <LinksUpToDate>false</LinksUpToDate>
  <CharactersWithSpaces>6576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2024-03-13T09:17:00Z</dcterms:created>
  <dc:creator>fnzhchb</dc:creator>
  <cp:lastModifiedBy>111</cp:lastModifiedBy>
  <dcterms:modified xsi:type="dcterms:W3CDTF">2025-06-11T00:49:17Z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3E2E533FE866419A8120FC475357623A_13</vt:lpwstr>
  </property>
  <property fmtid="{D5CDD505-2E9C-101B-9397-08002B2CF9AE}" pid="4" name="KSOTemplateDocerSaveRecord">
    <vt:lpwstr>eyJoZGlkIjoiNjIxMGFkMzEyZTU2NGY5MTUzODYxMjViMGY0NWFhYWQifQ==</vt:lpwstr>
  </property>
</Properties>
</file>