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rFonts w:hint="eastAsia" w:ascii="仿宋" w:hAnsi="仿宋" w:eastAsia="仿宋"/>
          <w:color w:val="FF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技术规范</w:t>
      </w:r>
    </w:p>
    <w:p>
      <w:pPr>
        <w:pStyle w:val="3"/>
        <w:autoSpaceDE/>
        <w:autoSpaceDN/>
        <w:adjustRightInd w:val="0"/>
        <w:snapToGrid w:val="0"/>
        <w:ind w:left="0" w:firstLine="560" w:firstLineChars="200"/>
        <w:jc w:val="both"/>
        <w:outlineLvl w:val="1"/>
        <w:rPr>
          <w:rFonts w:hint="default" w:ascii="仿宋" w:hAnsi="仿宋" w:cs="Arial"/>
          <w:color w:val="000000"/>
          <w:kern w:val="2"/>
          <w:szCs w:val="28"/>
          <w:lang w:eastAsia="zh-CN"/>
        </w:rPr>
      </w:pPr>
      <w:bookmarkStart w:id="0" w:name="_Toc28549"/>
      <w:r>
        <w:rPr>
          <w:rFonts w:ascii="等线 Light" w:hAnsi="等线 Light" w:eastAsia="等线 Light" w:cs="等线 Light"/>
          <w:b/>
          <w:bCs/>
          <w:szCs w:val="28"/>
          <w:lang w:eastAsia="zh-CN"/>
        </w:rPr>
        <w:t>（</w:t>
      </w:r>
      <w:r>
        <w:rPr>
          <w:rFonts w:ascii="仿宋" w:hAnsi="仿宋" w:cs="Arial"/>
          <w:color w:val="000000"/>
          <w:kern w:val="2"/>
          <w:szCs w:val="28"/>
          <w:lang w:eastAsia="zh-CN"/>
        </w:rPr>
        <w:t>一）相关知识与技能</w:t>
      </w:r>
      <w:bookmarkEnd w:id="0"/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1.工业机器人技术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2.机电设备安装与调试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3.传感器技术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4.PLC 自动控制技术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5.气动控制技术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6.运动控制技术及精确定位控制技术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7.视觉检测、识别及定位技术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8.HMI人机组态技术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9.网络总线技术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10.RFID检测技术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11.结构化编程及虚拟仿真技术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12.伺服驱动系统原理与应用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13.智能装备与产线单元模块的现场安装和调试</w:t>
      </w:r>
    </w:p>
    <w:p>
      <w:pPr>
        <w:pStyle w:val="3"/>
        <w:autoSpaceDE/>
        <w:autoSpaceDN/>
        <w:adjustRightInd w:val="0"/>
        <w:snapToGrid w:val="0"/>
        <w:ind w:left="0" w:firstLine="560" w:firstLineChars="200"/>
        <w:jc w:val="both"/>
        <w:outlineLvl w:val="1"/>
        <w:rPr>
          <w:rFonts w:hint="default" w:ascii="仿宋" w:hAnsi="仿宋" w:cs="Arial"/>
          <w:color w:val="000000"/>
          <w:kern w:val="2"/>
          <w:szCs w:val="28"/>
          <w:lang w:eastAsia="zh-CN"/>
        </w:rPr>
      </w:pPr>
      <w:bookmarkStart w:id="1" w:name="_Toc28854"/>
      <w:r>
        <w:rPr>
          <w:rFonts w:ascii="仿宋" w:hAnsi="仿宋" w:cs="Arial"/>
          <w:color w:val="000000"/>
          <w:kern w:val="2"/>
          <w:szCs w:val="28"/>
          <w:lang w:eastAsia="zh-CN"/>
        </w:rPr>
        <w:t>（二）参考相关职业标准和技术标准</w:t>
      </w:r>
      <w:bookmarkEnd w:id="1"/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1.机械设备安装工国家职业标准（职业编码6-29-03-01）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2.电气设备安装工国家职业标准（职业编码6-29-03-02）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3.工业机器人系统运维员国家职业技能标准（职业编码6-31-07-01）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4.工业机器人系统操作员国家职业技能标准（职业编码6-31-07-03）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5.工业控制系统信息安全GB/T 30976.1-30976.2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6.工业机器人坐标系和运动命名原则GB/T 16977-2005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7.工业机器人编程和操作图形用户接口GB/T 19399-2003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8.工业机器人安全规范GB/T11291-1997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9.工业机器人通用技术标准GB/T 14284-1993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10.电气设备用图形符号GB/T 5465.2-1996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11.机械安全机械电气设备第1部分GB 5226.1-2002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12.工业通信网络现场总线规范第2部分：物流层规范和服务定义GB/T 16657.2-2008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13.教学仪器设备安全要求总则GB 21746-2008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14.世界技能大赛机电一体化项目专业技术规范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15.工业机器人集成应用职业技能等级标准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16.工业机器人操作与运维职业技能等级标准</w:t>
      </w:r>
    </w:p>
    <w:p>
      <w:pPr>
        <w:pStyle w:val="3"/>
        <w:autoSpaceDE/>
        <w:autoSpaceDN/>
        <w:adjustRightInd w:val="0"/>
        <w:snapToGrid w:val="0"/>
        <w:ind w:left="0" w:firstLine="560" w:firstLineChars="200"/>
        <w:jc w:val="both"/>
        <w:outlineLvl w:val="1"/>
        <w:rPr>
          <w:rFonts w:hint="default" w:ascii="仿宋" w:hAnsi="仿宋" w:cs="Arial"/>
          <w:color w:val="000000"/>
          <w:kern w:val="2"/>
          <w:szCs w:val="28"/>
          <w:lang w:eastAsia="zh-CN"/>
        </w:rPr>
      </w:pPr>
      <w:bookmarkStart w:id="2" w:name="_Toc3863"/>
      <w:r>
        <w:rPr>
          <w:rFonts w:ascii="仿宋" w:hAnsi="仿宋" w:cs="Arial"/>
          <w:color w:val="000000"/>
          <w:kern w:val="2"/>
          <w:szCs w:val="28"/>
          <w:lang w:eastAsia="zh-CN"/>
        </w:rPr>
        <w:t>（三）专业教学标准</w:t>
      </w:r>
      <w:bookmarkEnd w:id="2"/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1.《职业教育专业简介》（2021年版）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2.《中等职业学校专业教学标准》</w:t>
      </w:r>
    </w:p>
    <w:p>
      <w:pPr>
        <w:adjustRightInd w:val="0"/>
        <w:snapToGrid w:val="0"/>
        <w:outlineLvl w:val="0"/>
        <w:rPr>
          <w:rFonts w:hint="eastAsia"/>
          <w:b/>
          <w:kern w:val="44"/>
          <w:sz w:val="30"/>
          <w:lang w:eastAsia="zh-CN"/>
        </w:rPr>
      </w:pPr>
      <w:bookmarkStart w:id="3" w:name="_Toc14407"/>
      <w:r>
        <w:rPr>
          <w:b/>
          <w:kern w:val="44"/>
          <w:sz w:val="30"/>
        </w:rPr>
        <w:t>竞赛平台</w:t>
      </w:r>
      <w:bookmarkEnd w:id="3"/>
      <w:r>
        <w:rPr>
          <w:rFonts w:hint="eastAsia"/>
          <w:b/>
          <w:kern w:val="44"/>
          <w:sz w:val="30"/>
          <w:lang w:eastAsia="zh-CN"/>
        </w:rPr>
        <w:t>：</w:t>
      </w:r>
    </w:p>
    <w:p>
      <w:pPr>
        <w:adjustRightInd w:val="0"/>
        <w:snapToGrid w:val="0"/>
        <w:outlineLvl w:val="0"/>
        <w:rPr>
          <w:rFonts w:hint="default"/>
          <w:b/>
          <w:bCs w:val="0"/>
          <w:kern w:val="44"/>
          <w:sz w:val="30"/>
          <w:lang w:val="en-US" w:eastAsia="zh-CN"/>
        </w:rPr>
      </w:pPr>
      <w:bookmarkStart w:id="4" w:name="_GoBack"/>
      <w:r>
        <w:rPr>
          <w:rFonts w:hint="eastAsia"/>
          <w:b w:val="0"/>
          <w:bCs/>
          <w:kern w:val="44"/>
          <w:sz w:val="30"/>
          <w:lang w:val="en-US" w:eastAsia="zh-CN"/>
        </w:rPr>
        <w:t>DLIR-377工业机器人数字化应用平台</w:t>
      </w:r>
    </w:p>
    <w:bookmarkEnd w:id="4"/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1.选用六轴工业机器人，轴数不少于6个自由度，负载不低于3kg。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2.选用高性能PLC实现集成控制，支持模块拓展，支持Profinet、Modbus TCP、以太网通信。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3.选用高性能人机界面，支持提供以太网与外部设备通讯。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4.选用视觉检测系统，提供稳定视觉光源，支持多种通讯方式。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5.搭配涂胶应用单元，包含直线、圆形、复杂曲线等轨迹。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6.搭配码垛单元，提供不少于6个码垛物料，可实现多种形式码垛功能。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7.搭配多类型零部件、料盒、零件供料机构等单元，可实现复杂零件分拣、装配等功能。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8.搭配工具快换系统，可实现机器人自动切换不同类型工具，包含胶枪、夹爪、多类型吸盘、锁螺丝等快换工具。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9</w:t>
      </w:r>
      <w:r>
        <w:rPr>
          <w:rFonts w:ascii="仿宋" w:hAnsi="仿宋" w:eastAsia="仿宋" w:cs="Arial"/>
          <w:color w:val="000000"/>
          <w:sz w:val="28"/>
          <w:szCs w:val="28"/>
        </w:rPr>
        <w:t>.搭配机器人标定工具等，可进行机器人维护与测量。</w:t>
      </w:r>
    </w:p>
    <w:p>
      <w:pPr>
        <w:adjustRightInd w:val="0"/>
        <w:snapToGrid w:val="0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ascii="仿宋" w:hAnsi="仿宋" w:eastAsia="仿宋" w:cs="Arial"/>
          <w:color w:val="000000"/>
          <w:sz w:val="28"/>
          <w:szCs w:val="28"/>
        </w:rPr>
        <w:t>1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0</w:t>
      </w:r>
      <w:r>
        <w:rPr>
          <w:rFonts w:ascii="仿宋" w:hAnsi="仿宋" w:eastAsia="仿宋" w:cs="Arial"/>
          <w:color w:val="000000"/>
          <w:sz w:val="28"/>
          <w:szCs w:val="28"/>
        </w:rPr>
        <w:t>.搭配多口工业级交换机，网线不少于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5</w:t>
      </w:r>
      <w:r>
        <w:rPr>
          <w:rFonts w:ascii="仿宋" w:hAnsi="仿宋" w:eastAsia="仿宋" w:cs="Arial"/>
          <w:color w:val="000000"/>
          <w:sz w:val="28"/>
          <w:szCs w:val="28"/>
        </w:rPr>
        <w:t>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NjM1NmQ5NzM4ZjI4ZDgwNDJlZGNlYmIxODdkYmIifQ=="/>
  </w:docVars>
  <w:rsids>
    <w:rsidRoot w:val="00000000"/>
    <w:rsid w:val="303B056B"/>
    <w:rsid w:val="59725BDA"/>
    <w:rsid w:val="6C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1"/>
    <w:pPr>
      <w:autoSpaceDE w:val="0"/>
      <w:autoSpaceDN w:val="0"/>
      <w:spacing w:line="360" w:lineRule="auto"/>
      <w:ind w:left="460"/>
      <w:jc w:val="left"/>
    </w:pPr>
    <w:rPr>
      <w:rFonts w:hint="eastAsia" w:ascii="仿宋_GB2312" w:hAnsi="仿宋_GB2312" w:eastAsia="仿宋" w:cs="Times New Roman"/>
      <w:kern w:val="0"/>
      <w:sz w:val="28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2024-06-21T07:00:00Z</dcterms:created>
  <dc:creator>hp</dc:creator>
  <cp:lastModifiedBy>值得拥有</cp:lastModifiedBy>
  <dcterms:modified xsi:type="dcterms:W3CDTF">2024-06-21T08:57:06Z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B433A1F734E94BCCA71080C43D8C765C_12</vt:lpwstr>
  </property>
</Properties>
</file>