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5E523">
      <w:pPr>
        <w:jc w:val="center"/>
        <w:rPr>
          <w:rFonts w:ascii="方正小标宋简体" w:hAnsi="方正小标宋简体" w:eastAsia="方正小标宋简体" w:cs="方正小标宋简体"/>
          <w:sz w:val="72"/>
          <w:szCs w:val="72"/>
        </w:rPr>
      </w:pPr>
    </w:p>
    <w:p w14:paraId="0D4D8D78">
      <w:pPr>
        <w:pStyle w:val="6"/>
      </w:pPr>
    </w:p>
    <w:p w14:paraId="0B18F0A6"/>
    <w:p w14:paraId="68E92C01">
      <w:pPr>
        <w:jc w:val="center"/>
        <w:rPr>
          <w:rFonts w:hint="eastAsia" w:ascii="黑体" w:hAnsi="黑体" w:eastAsia="黑体" w:cs="黑体"/>
          <w:sz w:val="56"/>
          <w:szCs w:val="56"/>
        </w:rPr>
      </w:pPr>
      <w:r>
        <w:rPr>
          <w:rFonts w:hint="eastAsia" w:ascii="黑体" w:hAnsi="黑体" w:eastAsia="黑体" w:cs="黑体"/>
          <w:sz w:val="56"/>
          <w:szCs w:val="56"/>
        </w:rPr>
        <w:t>202</w:t>
      </w:r>
      <w:r>
        <w:rPr>
          <w:rFonts w:hint="eastAsia" w:ascii="黑体" w:hAnsi="黑体" w:eastAsia="黑体" w:cs="黑体"/>
          <w:sz w:val="56"/>
          <w:szCs w:val="56"/>
          <w:lang w:val="en-US" w:eastAsia="zh-CN"/>
        </w:rPr>
        <w:t>5</w:t>
      </w:r>
      <w:r>
        <w:rPr>
          <w:rFonts w:hint="eastAsia" w:ascii="黑体" w:hAnsi="黑体" w:eastAsia="黑体" w:cs="黑体"/>
          <w:b w:val="0"/>
          <w:bCs w:val="0"/>
          <w:sz w:val="56"/>
          <w:szCs w:val="56"/>
        </w:rPr>
        <w:t>年</w:t>
      </w:r>
      <w:r>
        <w:rPr>
          <w:rFonts w:hint="eastAsia" w:ascii="黑体" w:hAnsi="黑体" w:eastAsia="黑体" w:cs="黑体"/>
          <w:b w:val="0"/>
          <w:bCs w:val="0"/>
          <w:sz w:val="56"/>
          <w:szCs w:val="56"/>
          <w:lang w:val="en-US" w:eastAsia="zh-CN"/>
        </w:rPr>
        <w:t>唐山市中等</w:t>
      </w:r>
      <w:r>
        <w:rPr>
          <w:rFonts w:hint="eastAsia" w:ascii="黑体" w:hAnsi="黑体" w:eastAsia="黑体" w:cs="黑体"/>
          <w:b w:val="0"/>
          <w:bCs w:val="0"/>
          <w:sz w:val="56"/>
          <w:szCs w:val="56"/>
        </w:rPr>
        <w:t>职业</w:t>
      </w:r>
      <w:r>
        <w:rPr>
          <w:rFonts w:hint="eastAsia" w:ascii="黑体" w:hAnsi="黑体" w:eastAsia="黑体" w:cs="黑体"/>
          <w:sz w:val="56"/>
          <w:szCs w:val="56"/>
          <w:lang w:val="en-US" w:eastAsia="zh-CN"/>
        </w:rPr>
        <w:t>学</w:t>
      </w:r>
      <w:r>
        <w:rPr>
          <w:rFonts w:hint="eastAsia" w:ascii="黑体" w:hAnsi="黑体" w:eastAsia="黑体" w:cs="黑体"/>
          <w:sz w:val="56"/>
          <w:szCs w:val="56"/>
        </w:rPr>
        <w:t>校</w:t>
      </w:r>
    </w:p>
    <w:p w14:paraId="4E8262BA">
      <w:pPr>
        <w:jc w:val="center"/>
        <w:rPr>
          <w:rFonts w:hint="eastAsia" w:ascii="黑体" w:hAnsi="黑体" w:eastAsia="黑体" w:cs="黑体"/>
          <w:sz w:val="56"/>
          <w:szCs w:val="56"/>
        </w:rPr>
      </w:pPr>
      <w:r>
        <w:rPr>
          <w:rFonts w:hint="eastAsia" w:ascii="黑体" w:hAnsi="黑体" w:eastAsia="黑体" w:cs="黑体"/>
          <w:sz w:val="56"/>
          <w:szCs w:val="56"/>
        </w:rPr>
        <w:t>技能</w:t>
      </w:r>
      <w:r>
        <w:rPr>
          <w:rFonts w:hint="eastAsia" w:ascii="黑体" w:hAnsi="黑体" w:eastAsia="黑体" w:cs="黑体"/>
          <w:sz w:val="56"/>
          <w:szCs w:val="56"/>
          <w:lang w:val="en-US" w:eastAsia="zh-CN"/>
        </w:rPr>
        <w:t>竞赛</w:t>
      </w:r>
      <w:r>
        <w:rPr>
          <w:rFonts w:hint="eastAsia" w:ascii="黑体" w:hAnsi="黑体" w:eastAsia="黑体" w:cs="黑体"/>
          <w:sz w:val="56"/>
          <w:szCs w:val="56"/>
        </w:rPr>
        <w:t>互联网营销赛项规程</w:t>
      </w:r>
    </w:p>
    <w:p w14:paraId="34D07D75">
      <w:pPr>
        <w:snapToGrid w:val="0"/>
        <w:spacing w:line="532" w:lineRule="atLeast"/>
        <w:jc w:val="center"/>
        <w:rPr>
          <w:rFonts w:ascii="Times New Roman" w:hAnsi="Times New Roman"/>
        </w:rPr>
      </w:pPr>
    </w:p>
    <w:p w14:paraId="748E0EDC">
      <w:pPr>
        <w:pStyle w:val="6"/>
      </w:pPr>
    </w:p>
    <w:p w14:paraId="21FC550A">
      <w:pPr>
        <w:snapToGrid w:val="0"/>
        <w:spacing w:line="243" w:lineRule="atLeast"/>
        <w:jc w:val="center"/>
        <w:rPr>
          <w:rFonts w:ascii="Times New Roman" w:hAnsi="Times New Roman"/>
        </w:rPr>
      </w:pPr>
    </w:p>
    <w:p w14:paraId="3D71CE42">
      <w:pPr>
        <w:snapToGrid w:val="0"/>
        <w:spacing w:line="243" w:lineRule="atLeast"/>
        <w:jc w:val="center"/>
        <w:rPr>
          <w:rFonts w:ascii="Times New Roman" w:hAnsi="Times New Roman"/>
        </w:rPr>
      </w:pPr>
    </w:p>
    <w:p w14:paraId="0ABCFC67">
      <w:pPr>
        <w:snapToGrid w:val="0"/>
        <w:spacing w:line="243" w:lineRule="atLeast"/>
        <w:jc w:val="center"/>
        <w:rPr>
          <w:rFonts w:ascii="Times New Roman" w:hAnsi="Times New Roman"/>
        </w:rPr>
      </w:pPr>
    </w:p>
    <w:p w14:paraId="440F518E">
      <w:pPr>
        <w:snapToGrid w:val="0"/>
        <w:spacing w:line="243" w:lineRule="atLeast"/>
        <w:jc w:val="center"/>
        <w:rPr>
          <w:rFonts w:ascii="Times New Roman" w:hAnsi="Times New Roman"/>
        </w:rPr>
      </w:pPr>
    </w:p>
    <w:p w14:paraId="6AB90D70">
      <w:pPr>
        <w:snapToGrid w:val="0"/>
        <w:spacing w:line="243" w:lineRule="atLeast"/>
        <w:jc w:val="center"/>
        <w:rPr>
          <w:rFonts w:ascii="Times New Roman" w:hAnsi="Times New Roman"/>
        </w:rPr>
      </w:pPr>
    </w:p>
    <w:p w14:paraId="05CAE9CF">
      <w:pPr>
        <w:snapToGrid w:val="0"/>
        <w:spacing w:line="243" w:lineRule="atLeast"/>
        <w:jc w:val="center"/>
        <w:rPr>
          <w:rFonts w:ascii="Times New Roman" w:hAnsi="Times New Roman"/>
        </w:rPr>
      </w:pPr>
    </w:p>
    <w:p w14:paraId="4685516F">
      <w:pPr>
        <w:snapToGrid w:val="0"/>
        <w:spacing w:line="243" w:lineRule="atLeast"/>
        <w:jc w:val="center"/>
        <w:rPr>
          <w:rFonts w:ascii="Times New Roman" w:hAnsi="Times New Roman"/>
        </w:rPr>
      </w:pPr>
    </w:p>
    <w:p w14:paraId="5AC8C6A9">
      <w:pPr>
        <w:snapToGrid w:val="0"/>
        <w:spacing w:line="243" w:lineRule="atLeast"/>
        <w:jc w:val="center"/>
        <w:rPr>
          <w:rFonts w:ascii="Times New Roman" w:hAnsi="Times New Roman"/>
        </w:rPr>
      </w:pPr>
    </w:p>
    <w:p w14:paraId="55046CF0">
      <w:pPr>
        <w:spacing w:line="800" w:lineRule="exact"/>
        <w:ind w:left="839"/>
        <w:rPr>
          <w:rFonts w:ascii="黑体" w:hAnsi="黑体" w:eastAsia="黑体" w:cs="黑体"/>
          <w:sz w:val="32"/>
          <w:u w:val="single"/>
        </w:rPr>
      </w:pPr>
      <w:r>
        <w:rPr>
          <w:rFonts w:hint="eastAsia" w:ascii="黑体" w:hAnsi="黑体" w:eastAsia="黑体" w:cs="黑体"/>
          <w:sz w:val="32"/>
        </w:rPr>
        <w:t>赛项名称：</w:t>
      </w:r>
      <w:r>
        <w:rPr>
          <w:rFonts w:hint="eastAsia" w:ascii="黑体" w:hAnsi="黑体" w:eastAsia="黑体" w:cs="黑体"/>
          <w:sz w:val="32"/>
          <w:u w:val="single"/>
        </w:rPr>
        <w:t xml:space="preserve">     </w:t>
      </w:r>
      <w:r>
        <w:rPr>
          <w:rFonts w:hint="eastAsia" w:ascii="黑体" w:hAnsi="黑体" w:eastAsia="黑体" w:cs="黑体"/>
          <w:sz w:val="32"/>
          <w:u w:val="single"/>
          <w:lang w:val="en-US" w:eastAsia="zh-CN"/>
        </w:rPr>
        <w:t xml:space="preserve"> </w:t>
      </w:r>
      <w:r>
        <w:rPr>
          <w:rFonts w:hint="eastAsia" w:ascii="黑体" w:hAnsi="黑体" w:eastAsia="黑体" w:cs="黑体"/>
          <w:sz w:val="32"/>
          <w:u w:val="single"/>
        </w:rPr>
        <w:t xml:space="preserve">互联网营销        </w:t>
      </w:r>
    </w:p>
    <w:p w14:paraId="38066371">
      <w:pPr>
        <w:spacing w:line="800" w:lineRule="exact"/>
        <w:ind w:left="839"/>
        <w:rPr>
          <w:rFonts w:ascii="黑体" w:hAnsi="黑体" w:eastAsia="黑体" w:cs="黑体"/>
          <w:sz w:val="32"/>
        </w:rPr>
      </w:pPr>
      <w:r>
        <w:rPr>
          <w:rFonts w:hint="eastAsia" w:ascii="黑体" w:hAnsi="黑体" w:eastAsia="黑体" w:cs="黑体"/>
          <w:sz w:val="32"/>
        </w:rPr>
        <w:t>英文名称：</w:t>
      </w:r>
      <w:r>
        <w:rPr>
          <w:rFonts w:hint="eastAsia" w:ascii="黑体" w:hAnsi="黑体" w:eastAsia="黑体" w:cs="黑体"/>
          <w:sz w:val="32"/>
          <w:u w:val="single"/>
        </w:rPr>
        <w:t xml:space="preserve">    Internet Marketing  </w:t>
      </w:r>
    </w:p>
    <w:p w14:paraId="7F6C9C82">
      <w:pPr>
        <w:spacing w:line="800" w:lineRule="exact"/>
        <w:ind w:left="839"/>
        <w:rPr>
          <w:rFonts w:ascii="黑体" w:hAnsi="黑体" w:eastAsia="黑体" w:cs="黑体"/>
          <w:sz w:val="32"/>
        </w:rPr>
      </w:pPr>
      <w:r>
        <w:rPr>
          <w:rFonts w:hint="eastAsia" w:ascii="黑体" w:hAnsi="黑体" w:eastAsia="黑体" w:cs="黑体"/>
          <w:sz w:val="32"/>
        </w:rPr>
        <w:t>赛项组别：</w:t>
      </w:r>
      <w:r>
        <w:rPr>
          <w:rFonts w:hint="eastAsia" w:ascii="黑体" w:hAnsi="黑体" w:eastAsia="黑体" w:cs="黑体"/>
          <w:sz w:val="32"/>
          <w:u w:val="single"/>
        </w:rPr>
        <w:t xml:space="preserve">        </w:t>
      </w:r>
      <w:r>
        <w:rPr>
          <w:rFonts w:hint="eastAsia" w:ascii="黑体" w:hAnsi="黑体" w:eastAsia="黑体" w:cs="黑体"/>
          <w:sz w:val="32"/>
          <w:u w:val="single"/>
          <w:lang w:val="en-US" w:eastAsia="zh-CN"/>
        </w:rPr>
        <w:t>学生</w:t>
      </w:r>
      <w:r>
        <w:rPr>
          <w:rFonts w:hint="eastAsia" w:ascii="黑体" w:hAnsi="黑体" w:eastAsia="黑体" w:cs="黑体"/>
          <w:sz w:val="32"/>
          <w:u w:val="single"/>
        </w:rPr>
        <w:t xml:space="preserve">组          </w:t>
      </w:r>
    </w:p>
    <w:p w14:paraId="608B9871">
      <w:pPr>
        <w:jc w:val="center"/>
        <w:rPr>
          <w:rFonts w:ascii="Times New Roman" w:hAnsi="Times New Roman"/>
          <w:sz w:val="30"/>
        </w:rPr>
      </w:pPr>
    </w:p>
    <w:p w14:paraId="0C89BB91">
      <w:pPr>
        <w:jc w:val="center"/>
        <w:rPr>
          <w:rFonts w:ascii="Times New Roman" w:hAnsi="Times New Roman"/>
          <w:sz w:val="30"/>
        </w:rPr>
      </w:pPr>
    </w:p>
    <w:p w14:paraId="3C488B1B">
      <w:pPr>
        <w:widowControl/>
        <w:jc w:val="left"/>
        <w:rPr>
          <w:rFonts w:ascii="黑体" w:eastAsia="黑体"/>
          <w:sz w:val="32"/>
        </w:rPr>
        <w:sectPr>
          <w:footerReference r:id="rId3" w:type="default"/>
          <w:pgSz w:w="11906" w:h="16838"/>
          <w:pgMar w:top="1240" w:right="1800" w:bottom="1318" w:left="1800" w:header="851" w:footer="992" w:gutter="0"/>
          <w:cols w:space="720" w:num="1"/>
          <w:docGrid w:type="lines" w:linePitch="312" w:charSpace="0"/>
        </w:sectPr>
      </w:pPr>
    </w:p>
    <w:p w14:paraId="49EE6894">
      <w:pPr>
        <w:pStyle w:val="2"/>
        <w:rPr>
          <w:b w:val="0"/>
          <w:bCs/>
        </w:rPr>
      </w:pPr>
      <w:r>
        <w:rPr>
          <w:rFonts w:hint="eastAsia"/>
          <w:b w:val="0"/>
          <w:bCs/>
        </w:rPr>
        <w:t>一、竞赛目标</w:t>
      </w:r>
    </w:p>
    <w:p w14:paraId="16B22DD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坚持“以高水平赛事推动职业教育高质量发展”为主线，融入新思想、新理念，对接产业前沿技术和行业标准，以职业需求为导向，以实践能力培养为重点，深化产教融合、校企合作，推进“三教”改革，坚持以赛促教、以赛促学、以赛促改，引领中等职业院校专业建设与教学改革。赛项聚焦互联网营销中的数字营销推广、直播营销、新媒体营销，检验参赛选手的职业道德、职业素养和技术技能水平，充分发挥技能大赛对职业教育“树旗、导航、定标、催化”的作用，推动“岗课赛证”综合育人，展示职业教育改革成果与人才培养质量。</w:t>
      </w:r>
    </w:p>
    <w:p w14:paraId="5AB1C07B">
      <w:pPr>
        <w:pStyle w:val="2"/>
        <w:rPr>
          <w:b w:val="0"/>
          <w:bCs/>
        </w:rPr>
      </w:pPr>
      <w:r>
        <w:rPr>
          <w:rFonts w:hint="eastAsia"/>
          <w:b w:val="0"/>
          <w:bCs/>
        </w:rPr>
        <w:t>二、竞赛内容</w:t>
      </w:r>
    </w:p>
    <w:p w14:paraId="34AB20A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（一）赛项整体内容介绍</w:t>
      </w:r>
    </w:p>
    <w:p w14:paraId="2148424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互联网营销是指在数字化信息平台上，运用网络的交互性与传播公信力，对企业产品进行多平台营销推广。比赛中对选手的技能要求主要包括：图文推广、视频推广、市场信息分析、直播规划、脚本策划、创建直播、直播装修、直播推广、直播售卖、直播互动、直播复盘、新媒体营销等。</w:t>
      </w:r>
    </w:p>
    <w:p w14:paraId="7B25301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（二）赛项模块详细内容介绍</w:t>
      </w:r>
    </w:p>
    <w:p w14:paraId="34811C5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本赛项主要包括数字营销推广、直播营销、新媒体营销三个模块，模块主要内容、比赛时长及分值如下表所示：</w:t>
      </w:r>
    </w:p>
    <w:p w14:paraId="493A7C6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rPr>
      </w:pPr>
    </w:p>
    <w:p w14:paraId="6EC400C6">
      <w:pPr>
        <w:spacing w:line="360" w:lineRule="auto"/>
        <w:jc w:val="center"/>
        <w:rPr>
          <w:rFonts w:ascii="黑体" w:hAnsi="黑体" w:eastAsia="黑体" w:cs="黑体"/>
          <w:sz w:val="24"/>
        </w:rPr>
      </w:pPr>
      <w:r>
        <w:rPr>
          <w:rFonts w:hint="eastAsia" w:ascii="黑体" w:hAnsi="黑体" w:eastAsia="黑体" w:cs="黑体"/>
          <w:sz w:val="24"/>
          <w:lang w:val="en-US" w:eastAsia="zh-CN"/>
        </w:rPr>
        <w:t xml:space="preserve">表1 </w:t>
      </w:r>
      <w:r>
        <w:rPr>
          <w:rFonts w:hint="eastAsia" w:ascii="黑体" w:hAnsi="黑体" w:eastAsia="黑体" w:cs="黑体"/>
          <w:sz w:val="24"/>
        </w:rPr>
        <w:t>赛项模块主要内容、比赛时长及分值</w:t>
      </w:r>
    </w:p>
    <w:tbl>
      <w:tblPr>
        <w:tblStyle w:val="14"/>
        <w:tblW w:w="886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95"/>
        <w:gridCol w:w="1370"/>
        <w:gridCol w:w="3704"/>
        <w:gridCol w:w="1410"/>
        <w:gridCol w:w="990"/>
      </w:tblGrid>
      <w:tr w14:paraId="38E1E8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5" w:hRule="atLeast"/>
          <w:jc w:val="center"/>
        </w:trPr>
        <w:tc>
          <w:tcPr>
            <w:tcW w:w="2765" w:type="dxa"/>
            <w:gridSpan w:val="2"/>
            <w:vAlign w:val="bottom"/>
          </w:tcPr>
          <w:p w14:paraId="7A7BBA02">
            <w:pPr>
              <w:spacing w:line="360" w:lineRule="auto"/>
              <w:ind w:firstLine="482" w:firstLineChars="200"/>
              <w:jc w:val="center"/>
              <w:rPr>
                <w:rFonts w:ascii="仿宋_GB2312" w:hAnsi="仿宋_GB2312" w:eastAsia="仿宋_GB2312" w:cs="仿宋_GB2312"/>
                <w:b/>
                <w:bCs/>
                <w:sz w:val="24"/>
              </w:rPr>
            </w:pPr>
            <w:r>
              <w:rPr>
                <w:rFonts w:hint="eastAsia" w:ascii="仿宋_GB2312" w:hAnsi="仿宋_GB2312" w:eastAsia="仿宋_GB2312" w:cs="仿宋_GB2312"/>
                <w:b/>
                <w:bCs/>
                <w:sz w:val="24"/>
              </w:rPr>
              <w:t>模块</w:t>
            </w:r>
          </w:p>
        </w:tc>
        <w:tc>
          <w:tcPr>
            <w:tcW w:w="3704" w:type="dxa"/>
            <w:vAlign w:val="bottom"/>
          </w:tcPr>
          <w:p w14:paraId="57CBEC06">
            <w:pPr>
              <w:spacing w:line="360" w:lineRule="auto"/>
              <w:ind w:firstLine="482" w:firstLineChars="200"/>
              <w:jc w:val="center"/>
              <w:rPr>
                <w:rFonts w:ascii="仿宋_GB2312" w:hAnsi="仿宋_GB2312" w:eastAsia="仿宋_GB2312" w:cs="仿宋_GB2312"/>
                <w:b/>
                <w:bCs/>
                <w:sz w:val="24"/>
              </w:rPr>
            </w:pPr>
            <w:r>
              <w:rPr>
                <w:rFonts w:hint="eastAsia" w:ascii="仿宋_GB2312" w:hAnsi="仿宋_GB2312" w:eastAsia="仿宋_GB2312" w:cs="仿宋_GB2312"/>
                <w:b/>
                <w:bCs/>
                <w:sz w:val="24"/>
              </w:rPr>
              <w:t>主要内容</w:t>
            </w:r>
          </w:p>
        </w:tc>
        <w:tc>
          <w:tcPr>
            <w:tcW w:w="1410" w:type="dxa"/>
            <w:vAlign w:val="bottom"/>
          </w:tcPr>
          <w:p w14:paraId="47FF5E19">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比赛时长</w:t>
            </w:r>
          </w:p>
        </w:tc>
        <w:tc>
          <w:tcPr>
            <w:tcW w:w="990" w:type="dxa"/>
            <w:vAlign w:val="bottom"/>
          </w:tcPr>
          <w:p w14:paraId="30388DD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w:t>
            </w:r>
          </w:p>
        </w:tc>
      </w:tr>
      <w:tr w14:paraId="70A2B6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68" w:hRule="atLeast"/>
          <w:jc w:val="center"/>
        </w:trPr>
        <w:tc>
          <w:tcPr>
            <w:tcW w:w="1395" w:type="dxa"/>
            <w:vAlign w:val="center"/>
          </w:tcPr>
          <w:p w14:paraId="50218C6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模块一</w:t>
            </w:r>
          </w:p>
        </w:tc>
        <w:tc>
          <w:tcPr>
            <w:tcW w:w="1370" w:type="dxa"/>
            <w:vAlign w:val="center"/>
          </w:tcPr>
          <w:p w14:paraId="141FDF3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数字营销推广</w:t>
            </w:r>
          </w:p>
        </w:tc>
        <w:tc>
          <w:tcPr>
            <w:tcW w:w="3704" w:type="dxa"/>
            <w:vAlign w:val="center"/>
          </w:tcPr>
          <w:p w14:paraId="4720418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给定的背景资料，分析图文内容和视频内容，确定目标受众群体，通过人群标签圈定目标受众，以付费推广方式获得图文、视频在不同广告位置的强势展现机会，增加展现量和点击量，将信息传递给目标受众，促进商业价值变现。</w:t>
            </w:r>
          </w:p>
        </w:tc>
        <w:tc>
          <w:tcPr>
            <w:tcW w:w="1410" w:type="dxa"/>
            <w:vAlign w:val="center"/>
          </w:tcPr>
          <w:p w14:paraId="545A2B0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120分钟</w:t>
            </w:r>
          </w:p>
        </w:tc>
        <w:tc>
          <w:tcPr>
            <w:tcW w:w="990" w:type="dxa"/>
            <w:vAlign w:val="center"/>
          </w:tcPr>
          <w:p w14:paraId="1C36074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30分</w:t>
            </w:r>
          </w:p>
        </w:tc>
      </w:tr>
      <w:tr w14:paraId="18216A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9" w:hRule="atLeast"/>
          <w:jc w:val="center"/>
        </w:trPr>
        <w:tc>
          <w:tcPr>
            <w:tcW w:w="1395" w:type="dxa"/>
            <w:vAlign w:val="center"/>
          </w:tcPr>
          <w:p w14:paraId="658C42C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模块二</w:t>
            </w:r>
          </w:p>
        </w:tc>
        <w:tc>
          <w:tcPr>
            <w:tcW w:w="1370" w:type="dxa"/>
            <w:vAlign w:val="center"/>
          </w:tcPr>
          <w:p w14:paraId="670D0E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直播营销</w:t>
            </w:r>
          </w:p>
        </w:tc>
        <w:tc>
          <w:tcPr>
            <w:tcW w:w="3704" w:type="dxa"/>
            <w:vAlign w:val="center"/>
          </w:tcPr>
          <w:p w14:paraId="1F05534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市场流量大盘和历史销售数据、商品资料等内容，在给定的资金范围内，策划并执行一场直播，完成市场信息分析、直播规划、脚本策划、创建直播、直播装修、直播推广、直播复盘等过程，并根据背景介绍以及商品资料，策划一场10分钟的直播，通过直播APP完成两款商品的直播演示。</w:t>
            </w:r>
          </w:p>
        </w:tc>
        <w:tc>
          <w:tcPr>
            <w:tcW w:w="1410" w:type="dxa"/>
            <w:vAlign w:val="center"/>
          </w:tcPr>
          <w:p w14:paraId="41B7E47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180分钟</w:t>
            </w:r>
          </w:p>
        </w:tc>
        <w:tc>
          <w:tcPr>
            <w:tcW w:w="990" w:type="dxa"/>
            <w:vAlign w:val="center"/>
          </w:tcPr>
          <w:p w14:paraId="439760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40分</w:t>
            </w:r>
          </w:p>
        </w:tc>
      </w:tr>
      <w:tr w14:paraId="35007C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2" w:hRule="atLeast"/>
          <w:jc w:val="center"/>
        </w:trPr>
        <w:tc>
          <w:tcPr>
            <w:tcW w:w="1395" w:type="dxa"/>
            <w:vAlign w:val="center"/>
          </w:tcPr>
          <w:p w14:paraId="4C2B7E7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模块三</w:t>
            </w:r>
          </w:p>
        </w:tc>
        <w:tc>
          <w:tcPr>
            <w:tcW w:w="1370" w:type="dxa"/>
            <w:vAlign w:val="center"/>
          </w:tcPr>
          <w:p w14:paraId="59523A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新媒体营销</w:t>
            </w:r>
          </w:p>
        </w:tc>
        <w:tc>
          <w:tcPr>
            <w:tcW w:w="3704" w:type="dxa"/>
            <w:vAlign w:val="center"/>
          </w:tcPr>
          <w:p w14:paraId="5C76C46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企业背景，结合特定的营销节点氛围，遵循营销活动策划实施原则与方法，面向目标受众，借助新媒体文案编辑工具，制作一篇图文并茂的宣传文案，需包含标题、正文、封面等内容，能够实现品牌宣传、产品推广的目的。</w:t>
            </w:r>
          </w:p>
        </w:tc>
        <w:tc>
          <w:tcPr>
            <w:tcW w:w="1410" w:type="dxa"/>
            <w:vAlign w:val="center"/>
          </w:tcPr>
          <w:p w14:paraId="460CC0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90分钟</w:t>
            </w:r>
          </w:p>
        </w:tc>
        <w:tc>
          <w:tcPr>
            <w:tcW w:w="990" w:type="dxa"/>
            <w:vAlign w:val="center"/>
          </w:tcPr>
          <w:p w14:paraId="7B68B40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30分</w:t>
            </w:r>
          </w:p>
        </w:tc>
      </w:tr>
    </w:tbl>
    <w:p w14:paraId="180EF817">
      <w:pPr>
        <w:pStyle w:val="2"/>
        <w:rPr>
          <w:b w:val="0"/>
          <w:bCs/>
        </w:rPr>
      </w:pPr>
      <w:r>
        <w:rPr>
          <w:rFonts w:hint="eastAsia"/>
          <w:b w:val="0"/>
          <w:bCs/>
        </w:rPr>
        <w:t>三、</w:t>
      </w:r>
      <w:r>
        <w:rPr>
          <w:b w:val="0"/>
          <w:bCs/>
        </w:rPr>
        <w:t>竞赛方式</w:t>
      </w:r>
    </w:p>
    <w:p w14:paraId="0E068D4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（一）竞赛形式</w:t>
      </w:r>
    </w:p>
    <w:p w14:paraId="00CB353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本赛项竞赛形式为线下比赛。</w:t>
      </w:r>
    </w:p>
    <w:p w14:paraId="6AAC510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（二）组队方式</w:t>
      </w:r>
    </w:p>
    <w:p w14:paraId="5CE9BC9F">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参赛对象：参赛选手须为中等职业学校全日制在籍学生（以报名时的学籍信息为准）或五年制高职一至三年级学生。</w:t>
      </w:r>
    </w:p>
    <w:p w14:paraId="7F543C7E">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组队要求：本赛项为学生赛，以学校为单位组队参赛不得跨校组队，每所学校限报2个代表队，每队</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名选手、不超过2名指导教师。</w:t>
      </w:r>
    </w:p>
    <w:p w14:paraId="11B397D3">
      <w:pPr>
        <w:pStyle w:val="2"/>
        <w:rPr>
          <w:b w:val="0"/>
          <w:bCs/>
        </w:rPr>
      </w:pPr>
      <w:r>
        <w:rPr>
          <w:rFonts w:hint="eastAsia"/>
          <w:b w:val="0"/>
          <w:bCs/>
        </w:rPr>
        <w:t>四、竞赛流程</w:t>
      </w:r>
    </w:p>
    <w:p w14:paraId="373346A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表</w:t>
      </w:r>
      <w:r>
        <w:rPr>
          <w:rFonts w:hint="eastAsia" w:ascii="仿宋_GB2312" w:hAnsi="仿宋_GB2312" w:eastAsia="仿宋_GB2312" w:cs="仿宋_GB2312"/>
          <w:sz w:val="24"/>
          <w:lang w:val="en-US" w:eastAsia="zh-CN"/>
        </w:rPr>
        <w:t xml:space="preserve">2 </w:t>
      </w:r>
      <w:r>
        <w:rPr>
          <w:rFonts w:hint="eastAsia" w:ascii="仿宋_GB2312" w:hAnsi="仿宋_GB2312" w:eastAsia="仿宋_GB2312" w:cs="仿宋_GB2312"/>
          <w:sz w:val="24"/>
        </w:rPr>
        <w:t>竞赛日程、比赛场次、竞技过程安排</w:t>
      </w:r>
    </w:p>
    <w:tbl>
      <w:tblPr>
        <w:tblStyle w:val="13"/>
        <w:tblpPr w:leftFromText="180" w:rightFromText="180" w:vertAnchor="text" w:horzAnchor="page" w:tblpXSpec="center" w:tblpY="218"/>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711"/>
        <w:gridCol w:w="2923"/>
        <w:gridCol w:w="2708"/>
      </w:tblGrid>
      <w:tr w14:paraId="2F19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Align w:val="center"/>
          </w:tcPr>
          <w:p w14:paraId="439910F3">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日期</w:t>
            </w:r>
          </w:p>
        </w:tc>
        <w:tc>
          <w:tcPr>
            <w:tcW w:w="1003" w:type="pct"/>
            <w:vAlign w:val="center"/>
          </w:tcPr>
          <w:p w14:paraId="64D15FC1">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时间</w:t>
            </w:r>
          </w:p>
        </w:tc>
        <w:tc>
          <w:tcPr>
            <w:tcW w:w="1714" w:type="pct"/>
            <w:vAlign w:val="center"/>
          </w:tcPr>
          <w:p w14:paraId="5C07C2BD">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事项</w:t>
            </w:r>
          </w:p>
        </w:tc>
        <w:tc>
          <w:tcPr>
            <w:tcW w:w="1588" w:type="pct"/>
            <w:vAlign w:val="center"/>
          </w:tcPr>
          <w:p w14:paraId="6CE6B7BA">
            <w:pPr>
              <w:snapToGrid w:val="0"/>
              <w:jc w:val="center"/>
              <w:rPr>
                <w:rFonts w:ascii="仿宋_GB2312" w:hAnsi="仿宋_GB2312" w:eastAsia="仿宋_GB2312" w:cs="仿宋_GB2312"/>
                <w:b/>
                <w:bCs/>
                <w:snapToGrid w:val="0"/>
                <w:color w:val="000000"/>
                <w:kern w:val="0"/>
                <w:sz w:val="24"/>
              </w:rPr>
            </w:pPr>
            <w:r>
              <w:rPr>
                <w:rFonts w:hint="eastAsia" w:ascii="仿宋_GB2312" w:hAnsi="仿宋_GB2312" w:eastAsia="仿宋_GB2312" w:cs="仿宋_GB2312"/>
                <w:b/>
                <w:bCs/>
                <w:snapToGrid w:val="0"/>
                <w:color w:val="000000"/>
                <w:kern w:val="0"/>
                <w:sz w:val="24"/>
              </w:rPr>
              <w:t>参加人员</w:t>
            </w:r>
          </w:p>
        </w:tc>
      </w:tr>
      <w:tr w14:paraId="16AD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restart"/>
            <w:vAlign w:val="center"/>
          </w:tcPr>
          <w:p w14:paraId="41DFA261">
            <w:pPr>
              <w:snapToGrid w:val="0"/>
              <w:jc w:val="center"/>
              <w:rPr>
                <w:rFonts w:hint="eastAsia" w:ascii="仿宋_GB2312" w:hAnsi="仿宋_GB2312" w:eastAsia="仿宋_GB2312" w:cs="仿宋_GB2312"/>
                <w:snapToGrid w:val="0"/>
                <w:color w:val="000000"/>
                <w:kern w:val="0"/>
                <w:sz w:val="24"/>
                <w:lang w:val="en-US" w:eastAsia="zh-CN"/>
              </w:rPr>
            </w:pPr>
            <w:r>
              <w:rPr>
                <w:rFonts w:hint="eastAsia" w:ascii="仿宋_GB2312" w:hAnsi="仿宋_GB2312" w:eastAsia="仿宋_GB2312" w:cs="仿宋_GB2312"/>
                <w:snapToGrid w:val="0"/>
                <w:color w:val="000000"/>
                <w:kern w:val="0"/>
                <w:sz w:val="24"/>
                <w:lang w:val="en-US" w:eastAsia="zh-CN"/>
              </w:rPr>
              <w:t>报到日</w:t>
            </w:r>
          </w:p>
        </w:tc>
        <w:tc>
          <w:tcPr>
            <w:tcW w:w="1003" w:type="pct"/>
            <w:vAlign w:val="center"/>
          </w:tcPr>
          <w:p w14:paraId="094B5383">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lang w:val="en-US" w:eastAsia="zh-CN"/>
              </w:rPr>
              <w:t>14</w:t>
            </w:r>
            <w:r>
              <w:rPr>
                <w:rFonts w:hint="eastAsia" w:ascii="仿宋_GB2312" w:hAnsi="仿宋_GB2312" w:eastAsia="仿宋_GB2312" w:cs="仿宋_GB2312"/>
                <w:snapToGrid w:val="0"/>
                <w:color w:val="000000"/>
                <w:kern w:val="0"/>
                <w:sz w:val="24"/>
              </w:rPr>
              <w:t>:00～1</w:t>
            </w:r>
            <w:r>
              <w:rPr>
                <w:rFonts w:hint="eastAsia" w:ascii="仿宋_GB2312" w:hAnsi="仿宋_GB2312" w:eastAsia="仿宋_GB2312" w:cs="仿宋_GB2312"/>
                <w:snapToGrid w:val="0"/>
                <w:color w:val="000000"/>
                <w:kern w:val="0"/>
                <w:sz w:val="24"/>
                <w:lang w:val="en-US" w:eastAsia="zh-CN"/>
              </w:rPr>
              <w:t>5</w:t>
            </w:r>
            <w:r>
              <w:rPr>
                <w:rFonts w:hint="eastAsia" w:ascii="仿宋_GB2312" w:hAnsi="仿宋_GB2312" w:eastAsia="仿宋_GB2312" w:cs="仿宋_GB2312"/>
                <w:snapToGrid w:val="0"/>
                <w:color w:val="000000"/>
                <w:kern w:val="0"/>
                <w:sz w:val="24"/>
              </w:rPr>
              <w:t>:00</w:t>
            </w:r>
          </w:p>
        </w:tc>
        <w:tc>
          <w:tcPr>
            <w:tcW w:w="1714" w:type="pct"/>
            <w:vAlign w:val="center"/>
          </w:tcPr>
          <w:p w14:paraId="3BBD579A">
            <w:pPr>
              <w:snapToGrid w:val="0"/>
              <w:jc w:val="center"/>
              <w:rPr>
                <w:rFonts w:hint="eastAsia" w:ascii="仿宋_GB2312" w:hAnsi="仿宋_GB2312" w:eastAsia="仿宋_GB2312" w:cs="仿宋_GB2312"/>
                <w:snapToGrid w:val="0"/>
                <w:color w:val="000000"/>
                <w:kern w:val="0"/>
                <w:sz w:val="24"/>
                <w:lang w:eastAsia="zh-CN"/>
              </w:rPr>
            </w:pPr>
            <w:r>
              <w:rPr>
                <w:rFonts w:hint="eastAsia" w:ascii="仿宋_GB2312" w:hAnsi="仿宋_GB2312" w:eastAsia="仿宋_GB2312" w:cs="仿宋_GB2312"/>
                <w:snapToGrid w:val="0"/>
                <w:color w:val="000000"/>
                <w:kern w:val="0"/>
                <w:sz w:val="24"/>
                <w:lang w:val="en-US" w:eastAsia="zh-CN"/>
              </w:rPr>
              <w:t>赛前说明会</w:t>
            </w:r>
          </w:p>
        </w:tc>
        <w:tc>
          <w:tcPr>
            <w:tcW w:w="1588" w:type="pct"/>
            <w:vAlign w:val="center"/>
          </w:tcPr>
          <w:p w14:paraId="77C2C51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各参赛队领队</w:t>
            </w:r>
          </w:p>
        </w:tc>
      </w:tr>
      <w:tr w14:paraId="77CB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3292D640">
            <w:pPr>
              <w:snapToGrid w:val="0"/>
              <w:jc w:val="center"/>
              <w:rPr>
                <w:rFonts w:ascii="仿宋_GB2312" w:hAnsi="仿宋_GB2312" w:eastAsia="仿宋_GB2312" w:cs="仿宋_GB2312"/>
                <w:snapToGrid w:val="0"/>
                <w:color w:val="000000"/>
                <w:kern w:val="0"/>
                <w:sz w:val="24"/>
              </w:rPr>
            </w:pPr>
          </w:p>
        </w:tc>
        <w:tc>
          <w:tcPr>
            <w:tcW w:w="1003" w:type="pct"/>
            <w:vAlign w:val="center"/>
          </w:tcPr>
          <w:p w14:paraId="1EC0DEC9">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w:t>
            </w:r>
            <w:r>
              <w:rPr>
                <w:rFonts w:hint="eastAsia" w:ascii="仿宋_GB2312" w:hAnsi="仿宋_GB2312" w:eastAsia="仿宋_GB2312" w:cs="仿宋_GB2312"/>
                <w:snapToGrid w:val="0"/>
                <w:color w:val="000000"/>
                <w:kern w:val="0"/>
                <w:sz w:val="24"/>
                <w:lang w:val="en-US" w:eastAsia="zh-CN"/>
              </w:rPr>
              <w:t>5</w:t>
            </w:r>
            <w:r>
              <w:rPr>
                <w:rFonts w:hint="eastAsia" w:ascii="仿宋_GB2312" w:hAnsi="仿宋_GB2312" w:eastAsia="仿宋_GB2312" w:cs="仿宋_GB2312"/>
                <w:snapToGrid w:val="0"/>
                <w:color w:val="000000"/>
                <w:kern w:val="0"/>
                <w:sz w:val="24"/>
              </w:rPr>
              <w:t>:00～16:</w:t>
            </w:r>
            <w:r>
              <w:rPr>
                <w:rFonts w:hint="eastAsia" w:ascii="仿宋_GB2312" w:hAnsi="仿宋_GB2312" w:eastAsia="仿宋_GB2312" w:cs="仿宋_GB2312"/>
                <w:snapToGrid w:val="0"/>
                <w:color w:val="000000"/>
                <w:kern w:val="0"/>
                <w:sz w:val="24"/>
                <w:lang w:val="en-US" w:eastAsia="zh-CN"/>
              </w:rPr>
              <w:t>0</w:t>
            </w:r>
            <w:r>
              <w:rPr>
                <w:rFonts w:hint="eastAsia" w:ascii="仿宋_GB2312" w:hAnsi="仿宋_GB2312" w:eastAsia="仿宋_GB2312" w:cs="仿宋_GB2312"/>
                <w:snapToGrid w:val="0"/>
                <w:color w:val="000000"/>
                <w:kern w:val="0"/>
                <w:sz w:val="24"/>
              </w:rPr>
              <w:t>0</w:t>
            </w:r>
          </w:p>
        </w:tc>
        <w:tc>
          <w:tcPr>
            <w:tcW w:w="1714" w:type="pct"/>
            <w:vAlign w:val="center"/>
          </w:tcPr>
          <w:p w14:paraId="42519CD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熟悉赛场</w:t>
            </w:r>
          </w:p>
        </w:tc>
        <w:tc>
          <w:tcPr>
            <w:tcW w:w="1588" w:type="pct"/>
            <w:vAlign w:val="center"/>
          </w:tcPr>
          <w:p w14:paraId="5F591E06">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技术人员、各参赛队</w:t>
            </w:r>
          </w:p>
        </w:tc>
      </w:tr>
      <w:tr w14:paraId="5E2A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restart"/>
            <w:vAlign w:val="center"/>
          </w:tcPr>
          <w:p w14:paraId="3A680381">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竞赛日</w:t>
            </w:r>
          </w:p>
        </w:tc>
        <w:tc>
          <w:tcPr>
            <w:tcW w:w="1003" w:type="pct"/>
            <w:vAlign w:val="center"/>
          </w:tcPr>
          <w:p w14:paraId="51F897CF">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8:00～8:</w:t>
            </w:r>
            <w:r>
              <w:rPr>
                <w:rFonts w:hint="eastAsia" w:ascii="仿宋_GB2312" w:hAnsi="仿宋_GB2312" w:eastAsia="仿宋_GB2312" w:cs="仿宋_GB2312"/>
                <w:snapToGrid w:val="0"/>
                <w:color w:val="000000"/>
                <w:kern w:val="0"/>
                <w:sz w:val="24"/>
                <w:lang w:val="en-US" w:eastAsia="zh-CN"/>
              </w:rPr>
              <w:t>3</w:t>
            </w:r>
            <w:r>
              <w:rPr>
                <w:rFonts w:hint="eastAsia" w:ascii="仿宋_GB2312" w:hAnsi="仿宋_GB2312" w:eastAsia="仿宋_GB2312" w:cs="仿宋_GB2312"/>
                <w:snapToGrid w:val="0"/>
                <w:color w:val="000000"/>
                <w:kern w:val="0"/>
                <w:sz w:val="24"/>
              </w:rPr>
              <w:t>0</w:t>
            </w:r>
          </w:p>
        </w:tc>
        <w:tc>
          <w:tcPr>
            <w:tcW w:w="1714" w:type="pct"/>
            <w:vAlign w:val="center"/>
          </w:tcPr>
          <w:p w14:paraId="213524DC">
            <w:pPr>
              <w:snapToGrid w:val="0"/>
              <w:jc w:val="center"/>
              <w:rPr>
                <w:rFonts w:hint="eastAsia" w:ascii="仿宋_GB2312" w:hAnsi="仿宋_GB2312" w:eastAsia="仿宋_GB2312" w:cs="仿宋_GB2312"/>
                <w:snapToGrid w:val="0"/>
                <w:color w:val="000000"/>
                <w:spacing w:val="-20"/>
                <w:kern w:val="0"/>
                <w:sz w:val="24"/>
                <w:lang w:eastAsia="zh-CN"/>
              </w:rPr>
            </w:pPr>
            <w:r>
              <w:rPr>
                <w:rFonts w:hint="eastAsia" w:ascii="仿宋_GB2312" w:hAnsi="仿宋_GB2312" w:eastAsia="仿宋_GB2312" w:cs="仿宋_GB2312"/>
                <w:snapToGrid w:val="0"/>
                <w:color w:val="000000"/>
                <w:spacing w:val="-20"/>
                <w:kern w:val="0"/>
                <w:sz w:val="24"/>
                <w:lang w:val="en-US" w:eastAsia="zh-CN"/>
              </w:rPr>
              <w:t>开幕式</w:t>
            </w:r>
          </w:p>
        </w:tc>
        <w:tc>
          <w:tcPr>
            <w:tcW w:w="1588" w:type="pct"/>
            <w:vAlign w:val="center"/>
          </w:tcPr>
          <w:p w14:paraId="4919AB7C">
            <w:pPr>
              <w:snapToGrid w:val="0"/>
              <w:jc w:val="center"/>
              <w:rPr>
                <w:rFonts w:hint="eastAsia" w:ascii="仿宋_GB2312" w:hAnsi="仿宋_GB2312" w:eastAsia="仿宋_GB2312" w:cs="仿宋_GB2312"/>
                <w:snapToGrid w:val="0"/>
                <w:color w:val="000000"/>
                <w:kern w:val="0"/>
                <w:sz w:val="24"/>
                <w:lang w:eastAsia="zh-CN"/>
              </w:rPr>
            </w:pPr>
            <w:r>
              <w:rPr>
                <w:rFonts w:hint="eastAsia" w:ascii="仿宋_GB2312" w:hAnsi="仿宋_GB2312" w:eastAsia="仿宋_GB2312" w:cs="仿宋_GB2312"/>
                <w:snapToGrid w:val="0"/>
                <w:color w:val="000000"/>
                <w:kern w:val="0"/>
                <w:sz w:val="24"/>
                <w:lang w:val="en-US" w:eastAsia="zh-CN"/>
              </w:rPr>
              <w:t>各参赛队</w:t>
            </w:r>
          </w:p>
        </w:tc>
      </w:tr>
      <w:tr w14:paraId="3AE1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2B0ADEB3">
            <w:pPr>
              <w:snapToGrid w:val="0"/>
              <w:jc w:val="center"/>
              <w:rPr>
                <w:rFonts w:hint="eastAsia" w:ascii="仿宋_GB2312" w:hAnsi="仿宋_GB2312" w:eastAsia="仿宋_GB2312" w:cs="仿宋_GB2312"/>
                <w:snapToGrid w:val="0"/>
                <w:color w:val="000000"/>
                <w:kern w:val="0"/>
                <w:sz w:val="24"/>
              </w:rPr>
            </w:pPr>
          </w:p>
        </w:tc>
        <w:tc>
          <w:tcPr>
            <w:tcW w:w="1003" w:type="pct"/>
            <w:vAlign w:val="center"/>
          </w:tcPr>
          <w:p w14:paraId="5D06F841">
            <w:pPr>
              <w:snapToGrid w:val="0"/>
              <w:jc w:val="center"/>
              <w:rPr>
                <w:rFonts w:hint="eastAsia"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8:</w:t>
            </w:r>
            <w:r>
              <w:rPr>
                <w:rFonts w:hint="eastAsia" w:ascii="仿宋_GB2312" w:hAnsi="仿宋_GB2312" w:eastAsia="仿宋_GB2312" w:cs="仿宋_GB2312"/>
                <w:snapToGrid w:val="0"/>
                <w:color w:val="000000"/>
                <w:kern w:val="0"/>
                <w:sz w:val="24"/>
                <w:lang w:val="en-US" w:eastAsia="zh-CN"/>
              </w:rPr>
              <w:t>30</w:t>
            </w:r>
            <w:r>
              <w:rPr>
                <w:rFonts w:hint="eastAsia" w:ascii="仿宋_GB2312" w:hAnsi="仿宋_GB2312" w:eastAsia="仿宋_GB2312" w:cs="仿宋_GB2312"/>
                <w:snapToGrid w:val="0"/>
                <w:color w:val="000000"/>
                <w:kern w:val="0"/>
                <w:sz w:val="24"/>
              </w:rPr>
              <w:t>～8:</w:t>
            </w:r>
            <w:r>
              <w:rPr>
                <w:rFonts w:hint="eastAsia" w:ascii="仿宋_GB2312" w:hAnsi="仿宋_GB2312" w:eastAsia="仿宋_GB2312" w:cs="仿宋_GB2312"/>
                <w:snapToGrid w:val="0"/>
                <w:color w:val="000000"/>
                <w:kern w:val="0"/>
                <w:sz w:val="24"/>
                <w:lang w:val="en-US" w:eastAsia="zh-CN"/>
              </w:rPr>
              <w:t>4</w:t>
            </w:r>
            <w:r>
              <w:rPr>
                <w:rFonts w:hint="eastAsia" w:ascii="仿宋_GB2312" w:hAnsi="仿宋_GB2312" w:eastAsia="仿宋_GB2312" w:cs="仿宋_GB2312"/>
                <w:snapToGrid w:val="0"/>
                <w:color w:val="000000"/>
                <w:kern w:val="0"/>
                <w:sz w:val="24"/>
              </w:rPr>
              <w:t>0</w:t>
            </w:r>
          </w:p>
        </w:tc>
        <w:tc>
          <w:tcPr>
            <w:tcW w:w="1714" w:type="pct"/>
            <w:shd w:val="clear" w:color="auto" w:fill="auto"/>
            <w:vAlign w:val="center"/>
          </w:tcPr>
          <w:p w14:paraId="585DC4F6">
            <w:pPr>
              <w:snapToGrid w:val="0"/>
              <w:jc w:val="center"/>
              <w:rPr>
                <w:rFonts w:hint="eastAsia" w:ascii="仿宋_GB2312" w:hAnsi="仿宋_GB2312" w:eastAsia="仿宋_GB2312" w:cs="仿宋_GB2312"/>
                <w:snapToGrid w:val="0"/>
                <w:color w:val="000000"/>
                <w:spacing w:val="-20"/>
                <w:kern w:val="0"/>
                <w:sz w:val="24"/>
                <w:szCs w:val="24"/>
                <w:lang w:val="en-US" w:eastAsia="zh-CN" w:bidi="ar-SA"/>
              </w:rPr>
            </w:pPr>
            <w:r>
              <w:rPr>
                <w:rFonts w:hint="eastAsia" w:ascii="仿宋_GB2312" w:hAnsi="仿宋_GB2312" w:eastAsia="仿宋_GB2312" w:cs="仿宋_GB2312"/>
                <w:snapToGrid w:val="0"/>
                <w:color w:val="000000"/>
                <w:spacing w:val="-20"/>
                <w:kern w:val="0"/>
                <w:sz w:val="24"/>
              </w:rPr>
              <w:t>第一次抽签加密</w:t>
            </w:r>
          </w:p>
        </w:tc>
        <w:tc>
          <w:tcPr>
            <w:tcW w:w="1588" w:type="pct"/>
            <w:shd w:val="clear" w:color="auto" w:fill="auto"/>
            <w:vAlign w:val="center"/>
          </w:tcPr>
          <w:p w14:paraId="60D457DA">
            <w:pPr>
              <w:snapToGrid w:val="0"/>
              <w:jc w:val="center"/>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napToGrid w:val="0"/>
                <w:color w:val="000000"/>
                <w:kern w:val="0"/>
                <w:sz w:val="24"/>
              </w:rPr>
              <w:t>参赛选手、加密裁判</w:t>
            </w:r>
          </w:p>
        </w:tc>
      </w:tr>
      <w:tr w14:paraId="636A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50CAEC64">
            <w:pPr>
              <w:snapToGrid w:val="0"/>
              <w:jc w:val="center"/>
              <w:rPr>
                <w:rFonts w:ascii="仿宋_GB2312" w:hAnsi="仿宋_GB2312" w:eastAsia="仿宋_GB2312" w:cs="仿宋_GB2312"/>
                <w:snapToGrid w:val="0"/>
                <w:color w:val="000000"/>
                <w:kern w:val="0"/>
                <w:sz w:val="24"/>
              </w:rPr>
            </w:pPr>
          </w:p>
        </w:tc>
        <w:tc>
          <w:tcPr>
            <w:tcW w:w="1003" w:type="pct"/>
            <w:vAlign w:val="center"/>
          </w:tcPr>
          <w:p w14:paraId="224C3E4B">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8:</w:t>
            </w:r>
            <w:r>
              <w:rPr>
                <w:rFonts w:hint="eastAsia" w:ascii="仿宋_GB2312" w:hAnsi="仿宋_GB2312" w:eastAsia="仿宋_GB2312" w:cs="仿宋_GB2312"/>
                <w:snapToGrid w:val="0"/>
                <w:color w:val="000000"/>
                <w:kern w:val="0"/>
                <w:sz w:val="24"/>
                <w:lang w:val="en-US" w:eastAsia="zh-CN"/>
              </w:rPr>
              <w:t>4</w:t>
            </w:r>
            <w:r>
              <w:rPr>
                <w:rFonts w:hint="eastAsia" w:ascii="仿宋_GB2312" w:hAnsi="仿宋_GB2312" w:eastAsia="仿宋_GB2312" w:cs="仿宋_GB2312"/>
                <w:snapToGrid w:val="0"/>
                <w:color w:val="000000"/>
                <w:kern w:val="0"/>
                <w:sz w:val="24"/>
              </w:rPr>
              <w:t>0～8:</w:t>
            </w:r>
            <w:r>
              <w:rPr>
                <w:rFonts w:hint="eastAsia" w:ascii="仿宋_GB2312" w:hAnsi="仿宋_GB2312" w:eastAsia="仿宋_GB2312" w:cs="仿宋_GB2312"/>
                <w:snapToGrid w:val="0"/>
                <w:color w:val="000000"/>
                <w:kern w:val="0"/>
                <w:sz w:val="24"/>
                <w:lang w:val="en-US" w:eastAsia="zh-CN"/>
              </w:rPr>
              <w:t>5</w:t>
            </w:r>
            <w:r>
              <w:rPr>
                <w:rFonts w:hint="eastAsia" w:ascii="仿宋_GB2312" w:hAnsi="仿宋_GB2312" w:eastAsia="仿宋_GB2312" w:cs="仿宋_GB2312"/>
                <w:snapToGrid w:val="0"/>
                <w:color w:val="000000"/>
                <w:kern w:val="0"/>
                <w:sz w:val="24"/>
              </w:rPr>
              <w:t>0</w:t>
            </w:r>
          </w:p>
        </w:tc>
        <w:tc>
          <w:tcPr>
            <w:tcW w:w="1714" w:type="pct"/>
            <w:vAlign w:val="center"/>
          </w:tcPr>
          <w:p w14:paraId="7AC46481">
            <w:pPr>
              <w:snapToGrid w:val="0"/>
              <w:jc w:val="center"/>
              <w:rPr>
                <w:rFonts w:ascii="仿宋_GB2312" w:hAnsi="仿宋_GB2312" w:eastAsia="仿宋_GB2312" w:cs="仿宋_GB2312"/>
                <w:snapToGrid w:val="0"/>
                <w:color w:val="000000"/>
                <w:spacing w:val="-23"/>
                <w:kern w:val="0"/>
                <w:sz w:val="24"/>
              </w:rPr>
            </w:pPr>
            <w:r>
              <w:rPr>
                <w:rFonts w:hint="eastAsia" w:ascii="仿宋_GB2312" w:hAnsi="仿宋_GB2312" w:eastAsia="仿宋_GB2312" w:cs="仿宋_GB2312"/>
                <w:snapToGrid w:val="0"/>
                <w:color w:val="000000"/>
                <w:spacing w:val="-23"/>
                <w:kern w:val="0"/>
                <w:sz w:val="24"/>
              </w:rPr>
              <w:t>第二次抽签加密</w:t>
            </w:r>
          </w:p>
        </w:tc>
        <w:tc>
          <w:tcPr>
            <w:tcW w:w="1588" w:type="pct"/>
            <w:vAlign w:val="center"/>
          </w:tcPr>
          <w:p w14:paraId="2F86E3AD">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参赛选手、加密裁判</w:t>
            </w:r>
          </w:p>
        </w:tc>
      </w:tr>
      <w:tr w14:paraId="7864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2216C401">
            <w:pPr>
              <w:snapToGrid w:val="0"/>
              <w:jc w:val="center"/>
              <w:rPr>
                <w:rFonts w:ascii="仿宋_GB2312" w:hAnsi="仿宋_GB2312" w:eastAsia="仿宋_GB2312" w:cs="仿宋_GB2312"/>
                <w:snapToGrid w:val="0"/>
                <w:color w:val="000000"/>
                <w:kern w:val="0"/>
                <w:sz w:val="24"/>
              </w:rPr>
            </w:pPr>
          </w:p>
        </w:tc>
        <w:tc>
          <w:tcPr>
            <w:tcW w:w="1003" w:type="pct"/>
            <w:vAlign w:val="center"/>
          </w:tcPr>
          <w:p w14:paraId="39ED9E0B">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9:00～12:00</w:t>
            </w:r>
          </w:p>
        </w:tc>
        <w:tc>
          <w:tcPr>
            <w:tcW w:w="1714" w:type="pct"/>
            <w:vAlign w:val="center"/>
          </w:tcPr>
          <w:p w14:paraId="4A3A4FB5">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直播营销</w:t>
            </w:r>
          </w:p>
        </w:tc>
        <w:tc>
          <w:tcPr>
            <w:tcW w:w="1588" w:type="pct"/>
            <w:vAlign w:val="center"/>
          </w:tcPr>
          <w:p w14:paraId="2E285DEB">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w:t>
            </w:r>
          </w:p>
        </w:tc>
      </w:tr>
      <w:tr w14:paraId="3195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475F3F14">
            <w:pPr>
              <w:snapToGrid w:val="0"/>
              <w:jc w:val="center"/>
              <w:rPr>
                <w:rFonts w:ascii="仿宋_GB2312" w:hAnsi="仿宋_GB2312" w:eastAsia="仿宋_GB2312" w:cs="仿宋_GB2312"/>
                <w:snapToGrid w:val="0"/>
                <w:color w:val="000000"/>
                <w:kern w:val="0"/>
                <w:sz w:val="24"/>
              </w:rPr>
            </w:pPr>
          </w:p>
        </w:tc>
        <w:tc>
          <w:tcPr>
            <w:tcW w:w="1003" w:type="pct"/>
            <w:vAlign w:val="center"/>
          </w:tcPr>
          <w:p w14:paraId="6802D1C5">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12:00～13:00</w:t>
            </w:r>
          </w:p>
        </w:tc>
        <w:tc>
          <w:tcPr>
            <w:tcW w:w="1714" w:type="pct"/>
            <w:vAlign w:val="center"/>
          </w:tcPr>
          <w:p w14:paraId="6D7A6711">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午餐</w:t>
            </w:r>
            <w:bookmarkStart w:id="4" w:name="_GoBack"/>
            <w:bookmarkEnd w:id="4"/>
          </w:p>
        </w:tc>
        <w:tc>
          <w:tcPr>
            <w:tcW w:w="1588" w:type="pct"/>
            <w:vAlign w:val="center"/>
          </w:tcPr>
          <w:p w14:paraId="01F7DD33">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参赛选手、裁判、工作人员</w:t>
            </w:r>
          </w:p>
        </w:tc>
      </w:tr>
      <w:tr w14:paraId="0609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29F52BF5">
            <w:pPr>
              <w:snapToGrid w:val="0"/>
              <w:jc w:val="center"/>
              <w:rPr>
                <w:rFonts w:ascii="仿宋_GB2312" w:hAnsi="仿宋_GB2312" w:eastAsia="仿宋_GB2312" w:cs="仿宋_GB2312"/>
                <w:snapToGrid w:val="0"/>
                <w:color w:val="000000"/>
                <w:kern w:val="0"/>
                <w:sz w:val="24"/>
              </w:rPr>
            </w:pPr>
          </w:p>
        </w:tc>
        <w:tc>
          <w:tcPr>
            <w:tcW w:w="1003" w:type="pct"/>
            <w:vAlign w:val="center"/>
          </w:tcPr>
          <w:p w14:paraId="496AB0E8">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13:00～14:30</w:t>
            </w:r>
          </w:p>
        </w:tc>
        <w:tc>
          <w:tcPr>
            <w:tcW w:w="1714" w:type="pct"/>
            <w:vAlign w:val="center"/>
          </w:tcPr>
          <w:p w14:paraId="6A187A52">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新媒体营销</w:t>
            </w:r>
          </w:p>
        </w:tc>
        <w:tc>
          <w:tcPr>
            <w:tcW w:w="1588" w:type="pct"/>
            <w:vAlign w:val="center"/>
          </w:tcPr>
          <w:p w14:paraId="49B465A8">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w:t>
            </w:r>
          </w:p>
        </w:tc>
      </w:tr>
      <w:tr w14:paraId="1303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2" w:type="pct"/>
            <w:vMerge w:val="continue"/>
            <w:vAlign w:val="center"/>
          </w:tcPr>
          <w:p w14:paraId="51AA5B9B">
            <w:pPr>
              <w:snapToGrid w:val="0"/>
              <w:jc w:val="center"/>
              <w:rPr>
                <w:rFonts w:ascii="仿宋_GB2312" w:hAnsi="仿宋_GB2312" w:eastAsia="仿宋_GB2312" w:cs="仿宋_GB2312"/>
                <w:snapToGrid w:val="0"/>
                <w:color w:val="000000"/>
                <w:kern w:val="0"/>
                <w:sz w:val="24"/>
              </w:rPr>
            </w:pPr>
          </w:p>
        </w:tc>
        <w:tc>
          <w:tcPr>
            <w:tcW w:w="1003" w:type="pct"/>
            <w:vAlign w:val="center"/>
          </w:tcPr>
          <w:p w14:paraId="3B51C76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14:30～16:30</w:t>
            </w:r>
          </w:p>
        </w:tc>
        <w:tc>
          <w:tcPr>
            <w:tcW w:w="1714" w:type="pct"/>
            <w:vAlign w:val="center"/>
          </w:tcPr>
          <w:p w14:paraId="3304BE6C">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数字营销推广</w:t>
            </w:r>
          </w:p>
        </w:tc>
        <w:tc>
          <w:tcPr>
            <w:tcW w:w="1588" w:type="pct"/>
            <w:vAlign w:val="center"/>
          </w:tcPr>
          <w:p w14:paraId="5D1A9874">
            <w:pPr>
              <w:snapToGrid w:val="0"/>
              <w:jc w:val="center"/>
              <w:rPr>
                <w:rFonts w:ascii="仿宋_GB2312" w:hAnsi="仿宋_GB2312" w:eastAsia="仿宋_GB2312" w:cs="仿宋_GB2312"/>
                <w:snapToGrid w:val="0"/>
                <w:color w:val="000000"/>
                <w:kern w:val="0"/>
                <w:sz w:val="24"/>
              </w:rPr>
            </w:pPr>
            <w:r>
              <w:rPr>
                <w:rFonts w:hint="eastAsia" w:ascii="仿宋_GB2312" w:hAnsi="仿宋_GB2312" w:eastAsia="仿宋_GB2312" w:cs="仿宋_GB2312"/>
                <w:snapToGrid w:val="0"/>
                <w:color w:val="000000"/>
                <w:kern w:val="0"/>
                <w:sz w:val="24"/>
              </w:rPr>
              <w:t>参赛选手、裁判</w:t>
            </w:r>
          </w:p>
        </w:tc>
      </w:tr>
    </w:tbl>
    <w:p w14:paraId="34898AA8">
      <w:pPr>
        <w:spacing w:line="360" w:lineRule="auto"/>
        <w:jc w:val="both"/>
        <w:rPr>
          <w:rFonts w:ascii="仿宋_GB2312" w:hAnsi="仿宋_GB2312" w:eastAsia="仿宋_GB2312" w:cs="仿宋_GB2312"/>
          <w:sz w:val="28"/>
          <w:szCs w:val="28"/>
        </w:rPr>
      </w:pPr>
    </w:p>
    <w:p w14:paraId="02E27DBC">
      <w:pPr>
        <w:pStyle w:val="2"/>
      </w:pPr>
      <w:r>
        <w:rPr>
          <w:rFonts w:hint="eastAsia"/>
        </w:rPr>
        <w:t>五、竞赛规则</w:t>
      </w:r>
    </w:p>
    <w:p w14:paraId="79224D98">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选手报名：参赛选手报名获得确认后不得随意更换。如比赛前参赛选手因故无法参赛，须由参赛院校于开赛10个工作日之前出具书面说明，经大赛执委会办公室核实后予以更换；团体赛选手因特殊原因不能参加比赛时，由大赛执委会办公室根据赛项的特点决定是否可进行缺员比赛，并上报大赛执委会备案。如发现未经报备，实际参赛选手与报名信息不符的情况，均不得入场。</w:t>
      </w:r>
    </w:p>
    <w:p w14:paraId="2CBBE92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（二）熟悉场地：比赛日前一天下午开放赛场，熟悉场地。</w:t>
      </w:r>
    </w:p>
    <w:p w14:paraId="453B9EB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（三）入场规则：选手入场时，逐个核查竞赛选手参赛号，对于选手携带的个人身份证件统一保管，对于违规物品立即收缴；实际参赛选手与报名信息不符的情况，不得入场。</w:t>
      </w:r>
    </w:p>
    <w:p w14:paraId="51A66B0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（四）赛场规则：</w:t>
      </w:r>
    </w:p>
    <w:p w14:paraId="0A2B7FB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1.检录：由检录工作人员依照检录表进行点名核对。</w:t>
      </w:r>
    </w:p>
    <w:p w14:paraId="333BC19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2.加密：竞赛当日进行两次加密，分别由两组加密裁判组织实施加密工作，管理加密结果。监督仲裁员全程监督加密过程。</w:t>
      </w:r>
    </w:p>
    <w:p w14:paraId="0265C23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3.引导：参赛选手凭赛位号进入赛场，现场裁判负责引导参赛选手至赛位前等待竞赛指令。</w:t>
      </w:r>
    </w:p>
    <w:p w14:paraId="2952322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4.由裁判长宣布比赛开始，各参赛队开始竞赛。</w:t>
      </w:r>
    </w:p>
    <w:p w14:paraId="3D4D0FF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竞赛过程中，如遇设备故障，参赛选手应举手示意。裁判、技术人员等应及时予以解决。确因计算机软件或硬件故障，致使操作无法继续的，经裁判长同意，予以启用备用计算机。如遇身体不适，参赛选手应举手示意，现场医务人员按应急预案救治。如有其他问题，参赛选手应举手示意，裁判应按照有关要求及时予以答疑。</w:t>
      </w:r>
    </w:p>
    <w:p w14:paraId="135C434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6.离场规则：参赛选手比赛中途不得擅自离开赛场；竞赛内容完成后经裁判长同意可离开赛场。</w:t>
      </w:r>
    </w:p>
    <w:p w14:paraId="1114039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7.成绩评定与结果公布：</w:t>
      </w:r>
    </w:p>
    <w:p w14:paraId="709EE96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本赛项评分方法分为机考评分和结果评分，成绩评定过程中的所有评分材料须由相应评分裁判签字确认，更正成绩需经裁判本人、裁判长及监督仲裁组长在更正处签字。</w:t>
      </w:r>
    </w:p>
    <w:p w14:paraId="3287DD15">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记分员将解密后的各参赛队伍（选手）成绩汇总成比赛成绩，经裁判长、监督仲裁组签字，公布比赛结果。</w:t>
      </w:r>
    </w:p>
    <w:p w14:paraId="28A8DBEF">
      <w:pPr>
        <w:pStyle w:val="2"/>
        <w:rPr>
          <w:b w:val="0"/>
          <w:bCs/>
        </w:rPr>
      </w:pPr>
      <w:r>
        <w:rPr>
          <w:rFonts w:hint="eastAsia"/>
          <w:b w:val="0"/>
          <w:bCs/>
        </w:rPr>
        <w:t>六、技术规范</w:t>
      </w:r>
    </w:p>
    <w:p w14:paraId="5946EB9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参赛团队遵循以下规范：</w:t>
      </w:r>
    </w:p>
    <w:p w14:paraId="590240C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一）专业教学要求：根据教育部发布的职业教育专业简介（2022年修订）中职电子商务、移动商务、网络营销、直播电商服务主要专业能力要求与《网络推广实务》、《直播销售》、《直播客户服务》、《新媒体营销》、《直播运营实务》、《新媒体文案编辑与发布》、《直播推广实务》、《新媒体运营》等核心课程的主要知识点、技能点设置竞赛内容。</w:t>
      </w:r>
    </w:p>
    <w:p w14:paraId="1184D11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（二）国家标准和行业标准：</w:t>
      </w:r>
    </w:p>
    <w:p w14:paraId="5234AD3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《互联网营销师国家职业技能标准》（2021年版）</w:t>
      </w:r>
    </w:p>
    <w:p w14:paraId="2B9C7AB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职业编码：4-01-02-07</w:t>
      </w:r>
    </w:p>
    <w:p w14:paraId="6AE6DBDA">
      <w:pPr>
        <w:pStyle w:val="2"/>
        <w:rPr>
          <w:b w:val="0"/>
          <w:bCs/>
        </w:rPr>
      </w:pPr>
      <w:r>
        <w:rPr>
          <w:rFonts w:hint="eastAsia"/>
          <w:b w:val="0"/>
          <w:bCs/>
        </w:rPr>
        <w:t>七、技术环境</w:t>
      </w:r>
    </w:p>
    <w:p w14:paraId="3423DC1C">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（一）竞赛场地内设置满足所有参赛队伍同时竞赛的竞赛环境。</w:t>
      </w:r>
    </w:p>
    <w:p w14:paraId="4C387C1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（二）赛场各赛位统一使用清晰的工位标识，一个参赛队一个机位，</w:t>
      </w:r>
      <w:r>
        <w:rPr>
          <w:rFonts w:hint="eastAsia" w:ascii="仿宋_GB2312" w:hAnsi="仿宋_GB2312" w:eastAsia="仿宋_GB2312" w:cs="仿宋_GB2312"/>
          <w:sz w:val="28"/>
          <w:szCs w:val="28"/>
          <w:highlight w:val="none"/>
        </w:rPr>
        <w:t>每个机位三台电脑，其中一台备用，</w:t>
      </w:r>
      <w:r>
        <w:rPr>
          <w:rFonts w:hint="eastAsia" w:ascii="仿宋_GB2312" w:hAnsi="仿宋_GB2312" w:eastAsia="仿宋_GB2312" w:cs="仿宋_GB2312"/>
          <w:sz w:val="28"/>
          <w:szCs w:val="28"/>
        </w:rPr>
        <w:t>两张桌子，四把椅子。</w:t>
      </w:r>
    </w:p>
    <w:p w14:paraId="1A658D9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（三）竞赛场地内设置背景板、宣传横幅及壁挂图，营造竞赛氛围。</w:t>
      </w:r>
    </w:p>
    <w:p w14:paraId="532D34F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（四）局域网络。采用星形网络拓扑结构，安装千兆交换机，网线与电源线隐蔽铺设。</w:t>
      </w:r>
    </w:p>
    <w:p w14:paraId="518D4DE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（五）利用UPS防止现场因突然断电导致的系统数据丢失，额定功率：3KVA，后备时间：2小时，电池类型：输出电压：230V±5%V。</w:t>
      </w:r>
    </w:p>
    <w:p w14:paraId="4A7BDB18">
      <w:pPr>
        <w:spacing w:line="360" w:lineRule="auto"/>
        <w:ind w:firstLine="560" w:firstLineChars="200"/>
      </w:pPr>
      <w:r>
        <w:rPr>
          <w:rFonts w:hint="eastAsia" w:ascii="仿宋_GB2312" w:hAnsi="仿宋_GB2312" w:eastAsia="仿宋_GB2312" w:cs="仿宋_GB2312"/>
          <w:sz w:val="28"/>
          <w:szCs w:val="28"/>
        </w:rPr>
        <w:t>（六）技术平台</w:t>
      </w:r>
    </w:p>
    <w:p w14:paraId="6A5F3478">
      <w:pPr>
        <w:pStyle w:val="6"/>
        <w:ind w:left="0"/>
        <w:rPr>
          <w:rFonts w:ascii="黑体" w:hAnsi="黑体" w:eastAsia="黑体" w:cs="黑体"/>
          <w:kern w:val="2"/>
          <w:sz w:val="24"/>
          <w:szCs w:val="24"/>
        </w:rPr>
      </w:pPr>
      <w:r>
        <w:rPr>
          <w:rFonts w:hint="eastAsia" w:ascii="黑体" w:hAnsi="黑体" w:eastAsia="黑体" w:cs="黑体"/>
          <w:kern w:val="2"/>
          <w:sz w:val="24"/>
          <w:szCs w:val="24"/>
        </w:rPr>
        <w:t>1.技术平台规格要求</w:t>
      </w:r>
    </w:p>
    <w:tbl>
      <w:tblPr>
        <w:tblStyle w:val="13"/>
        <w:tblW w:w="90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49"/>
        <w:gridCol w:w="6286"/>
      </w:tblGrid>
      <w:tr w14:paraId="2E99D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0" w:hRule="atLeast"/>
          <w:jc w:val="center"/>
        </w:trPr>
        <w:tc>
          <w:tcPr>
            <w:tcW w:w="2749" w:type="dxa"/>
            <w:vAlign w:val="center"/>
          </w:tcPr>
          <w:p w14:paraId="674F9CC1">
            <w:pPr>
              <w:spacing w:line="360" w:lineRule="auto"/>
              <w:ind w:right="210" w:rightChars="100" w:firstLine="723" w:firstLineChars="300"/>
              <w:jc w:val="left"/>
              <w:rPr>
                <w:rFonts w:ascii="仿宋_GB2312" w:hAnsi="仿宋_GB2312" w:eastAsia="仿宋_GB2312" w:cs="仿宋_GB2312"/>
                <w:b/>
                <w:bCs/>
                <w:sz w:val="24"/>
              </w:rPr>
            </w:pPr>
            <w:r>
              <w:rPr>
                <w:rFonts w:hint="eastAsia" w:ascii="仿宋_GB2312" w:hAnsi="仿宋_GB2312" w:eastAsia="仿宋_GB2312" w:cs="仿宋_GB2312"/>
                <w:b/>
                <w:bCs/>
                <w:sz w:val="24"/>
              </w:rPr>
              <w:t>品名</w:t>
            </w:r>
          </w:p>
        </w:tc>
        <w:tc>
          <w:tcPr>
            <w:tcW w:w="6286" w:type="dxa"/>
            <w:vAlign w:val="center"/>
          </w:tcPr>
          <w:p w14:paraId="06882F66">
            <w:pPr>
              <w:spacing w:line="360" w:lineRule="auto"/>
              <w:ind w:right="210" w:rightChars="100" w:firstLine="1928" w:firstLineChars="800"/>
              <w:jc w:val="left"/>
              <w:rPr>
                <w:rFonts w:ascii="仿宋_GB2312" w:hAnsi="仿宋_GB2312" w:eastAsia="仿宋_GB2312" w:cs="仿宋_GB2312"/>
                <w:b/>
                <w:bCs/>
                <w:sz w:val="24"/>
              </w:rPr>
            </w:pPr>
            <w:r>
              <w:rPr>
                <w:rFonts w:hint="eastAsia" w:ascii="仿宋_GB2312" w:hAnsi="仿宋_GB2312" w:eastAsia="仿宋_GB2312" w:cs="仿宋_GB2312"/>
                <w:b/>
                <w:bCs/>
                <w:sz w:val="24"/>
              </w:rPr>
              <w:t>规格要求说明</w:t>
            </w:r>
          </w:p>
        </w:tc>
      </w:tr>
      <w:tr w14:paraId="13C06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23BA4BE9">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参赛选手计算机</w:t>
            </w:r>
          </w:p>
        </w:tc>
        <w:tc>
          <w:tcPr>
            <w:tcW w:w="6286" w:type="dxa"/>
          </w:tcPr>
          <w:p w14:paraId="3706BB18">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配置要求：酷睿I5双核3.0以上CPU；8G以上内存；100G以上硬盘；2G显存以上独立显卡，千兆网卡。预装Windows7及以上操作系统；预装火狐、谷歌浏览器；预装录屏软件；预装全拼、简拼、微软拼音等中文输入法和英文输入法；</w:t>
            </w:r>
          </w:p>
        </w:tc>
      </w:tr>
      <w:tr w14:paraId="668A3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7BDF8D69">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参赛选手直播设备</w:t>
            </w:r>
          </w:p>
        </w:tc>
        <w:tc>
          <w:tcPr>
            <w:tcW w:w="6286" w:type="dxa"/>
            <w:vAlign w:val="center"/>
          </w:tcPr>
          <w:p w14:paraId="5E6D432F">
            <w:pPr>
              <w:spacing w:line="360" w:lineRule="auto"/>
              <w:ind w:right="210" w:rightChars="100"/>
              <w:rPr>
                <w:rFonts w:ascii="仿宋_GB2312" w:hAnsi="仿宋_GB2312" w:eastAsia="仿宋_GB2312" w:cs="仿宋_GB2312"/>
                <w:sz w:val="24"/>
              </w:rPr>
            </w:pPr>
            <w:r>
              <w:rPr>
                <w:rFonts w:hint="eastAsia" w:ascii="仿宋_GB2312" w:hAnsi="仿宋_GB2312" w:eastAsia="仿宋_GB2312" w:cs="仿宋_GB2312"/>
                <w:sz w:val="24"/>
              </w:rPr>
              <w:t>由承办方提供三脚架、补光灯、直播商品，并提供充足的备用设备。</w:t>
            </w:r>
          </w:p>
        </w:tc>
      </w:tr>
      <w:tr w14:paraId="61995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7FB41A92">
            <w:pPr>
              <w:spacing w:line="360" w:lineRule="auto"/>
              <w:ind w:right="210" w:rightChars="100"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现场布置</w:t>
            </w:r>
          </w:p>
        </w:tc>
        <w:tc>
          <w:tcPr>
            <w:tcW w:w="6286" w:type="dxa"/>
            <w:vAlign w:val="center"/>
          </w:tcPr>
          <w:p w14:paraId="1A8DF917">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工位隔断、环境布置、桌椅等</w:t>
            </w:r>
          </w:p>
        </w:tc>
      </w:tr>
      <w:tr w14:paraId="289F4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2749" w:type="dxa"/>
            <w:vAlign w:val="center"/>
          </w:tcPr>
          <w:p w14:paraId="61077F66">
            <w:pPr>
              <w:spacing w:line="360" w:lineRule="auto"/>
              <w:ind w:right="210" w:rightChars="100" w:firstLine="240" w:firstLineChars="100"/>
              <w:jc w:val="left"/>
              <w:rPr>
                <w:rFonts w:ascii="仿宋_GB2312" w:hAnsi="仿宋_GB2312" w:eastAsia="仿宋_GB2312" w:cs="仿宋_GB2312"/>
                <w:sz w:val="24"/>
              </w:rPr>
            </w:pPr>
            <w:r>
              <w:rPr>
                <w:rFonts w:hint="eastAsia" w:ascii="仿宋_GB2312" w:hAnsi="仿宋_GB2312" w:eastAsia="仿宋_GB2312" w:cs="仿宋_GB2312"/>
                <w:sz w:val="24"/>
              </w:rPr>
              <w:t>网络连接设备</w:t>
            </w:r>
          </w:p>
        </w:tc>
        <w:tc>
          <w:tcPr>
            <w:tcW w:w="6286" w:type="dxa"/>
            <w:vAlign w:val="center"/>
          </w:tcPr>
          <w:p w14:paraId="38445604">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提供网络布线、千兆交换机、无线路由器</w:t>
            </w:r>
          </w:p>
        </w:tc>
      </w:tr>
      <w:tr w14:paraId="30FFB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2749" w:type="dxa"/>
            <w:vAlign w:val="center"/>
          </w:tcPr>
          <w:p w14:paraId="190610D4">
            <w:pPr>
              <w:spacing w:line="360" w:lineRule="auto"/>
              <w:ind w:right="210" w:rightChars="100"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竞赛服务器</w:t>
            </w:r>
          </w:p>
        </w:tc>
        <w:tc>
          <w:tcPr>
            <w:tcW w:w="6286" w:type="dxa"/>
            <w:vAlign w:val="center"/>
          </w:tcPr>
          <w:p w14:paraId="2C6C44B0">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配置要求：英特尔至强E5系列E5-2683 v4十六核以上CPU；16GB以上内存；硬盘：500G以上；转速：10000 RPM或固态P4510；千兆网卡。</w:t>
            </w:r>
          </w:p>
          <w:p w14:paraId="05FF52D8">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预装Windows Server 2008 R2操作系统及IIS 7.5；预装Microsoft SQL Server 2008数据库。</w:t>
            </w:r>
          </w:p>
        </w:tc>
      </w:tr>
    </w:tbl>
    <w:p w14:paraId="3FA4956B">
      <w:pPr>
        <w:pStyle w:val="6"/>
        <w:ind w:left="0"/>
        <w:rPr>
          <w:rFonts w:ascii="黑体" w:hAnsi="黑体" w:eastAsia="黑体" w:cs="黑体"/>
          <w:kern w:val="2"/>
          <w:sz w:val="24"/>
          <w:szCs w:val="24"/>
        </w:rPr>
      </w:pPr>
      <w:r>
        <w:rPr>
          <w:rFonts w:hint="eastAsia" w:ascii="黑体" w:hAnsi="黑体" w:eastAsia="黑体" w:cs="黑体"/>
          <w:kern w:val="2"/>
          <w:sz w:val="24"/>
          <w:szCs w:val="24"/>
        </w:rPr>
        <w:t>2.参赛选手自带设备</w:t>
      </w:r>
    </w:p>
    <w:tbl>
      <w:tblPr>
        <w:tblStyle w:val="14"/>
        <w:tblW w:w="9020" w:type="dxa"/>
        <w:tblInd w:w="-2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524"/>
        <w:gridCol w:w="6305"/>
      </w:tblGrid>
      <w:tr w14:paraId="0626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6A01D18B">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1524" w:type="dxa"/>
            <w:vAlign w:val="center"/>
          </w:tcPr>
          <w:p w14:paraId="7276938D">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6305" w:type="dxa"/>
            <w:vAlign w:val="center"/>
          </w:tcPr>
          <w:p w14:paraId="086E3F53">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技术规格</w:t>
            </w:r>
          </w:p>
        </w:tc>
      </w:tr>
      <w:tr w14:paraId="4339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3A0EAAF6">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24" w:type="dxa"/>
            <w:vAlign w:val="center"/>
          </w:tcPr>
          <w:p w14:paraId="75ADA906">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直播耳机</w:t>
            </w:r>
          </w:p>
        </w:tc>
        <w:tc>
          <w:tcPr>
            <w:tcW w:w="6305" w:type="dxa"/>
            <w:vAlign w:val="center"/>
          </w:tcPr>
          <w:p w14:paraId="4C8D4028">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直插型、入耳式有线耳机，线长不低于1.5m。</w:t>
            </w:r>
          </w:p>
        </w:tc>
      </w:tr>
      <w:tr w14:paraId="6BEE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Align w:val="center"/>
          </w:tcPr>
          <w:p w14:paraId="38692C8F">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24" w:type="dxa"/>
            <w:vAlign w:val="center"/>
          </w:tcPr>
          <w:p w14:paraId="49664CA2">
            <w:pPr>
              <w:spacing w:line="360" w:lineRule="auto"/>
              <w:ind w:right="210" w:rightChars="100"/>
              <w:jc w:val="center"/>
              <w:rPr>
                <w:rFonts w:ascii="仿宋_GB2312" w:hAnsi="仿宋_GB2312" w:eastAsia="仿宋_GB2312" w:cs="仿宋_GB2312"/>
                <w:sz w:val="24"/>
              </w:rPr>
            </w:pPr>
            <w:r>
              <w:rPr>
                <w:rFonts w:hint="eastAsia" w:ascii="仿宋_GB2312" w:hAnsi="仿宋_GB2312" w:eastAsia="仿宋_GB2312" w:cs="仿宋_GB2312"/>
                <w:sz w:val="24"/>
              </w:rPr>
              <w:t>直播手机</w:t>
            </w:r>
          </w:p>
        </w:tc>
        <w:tc>
          <w:tcPr>
            <w:tcW w:w="6305" w:type="dxa"/>
            <w:vAlign w:val="center"/>
          </w:tcPr>
          <w:p w14:paraId="5964B463">
            <w:pPr>
              <w:spacing w:line="360" w:lineRule="auto"/>
              <w:ind w:right="210" w:rightChars="100"/>
              <w:jc w:val="left"/>
              <w:rPr>
                <w:rFonts w:ascii="仿宋_GB2312" w:hAnsi="仿宋_GB2312" w:eastAsia="仿宋_GB2312" w:cs="仿宋_GB2312"/>
                <w:sz w:val="24"/>
              </w:rPr>
            </w:pPr>
            <w:r>
              <w:rPr>
                <w:rFonts w:hint="eastAsia" w:ascii="仿宋_GB2312" w:hAnsi="仿宋_GB2312" w:eastAsia="仿宋_GB2312" w:cs="仿宋_GB2312"/>
                <w:sz w:val="24"/>
              </w:rPr>
              <w:t>安卓（Android），满足前摄主摄均达500万像素或以上，3GB+32GB或以上。</w:t>
            </w:r>
          </w:p>
        </w:tc>
      </w:tr>
    </w:tbl>
    <w:p w14:paraId="39087F27">
      <w:pPr>
        <w:pStyle w:val="2"/>
        <w:rPr>
          <w:b w:val="0"/>
          <w:bCs/>
        </w:rPr>
      </w:pPr>
      <w:r>
        <w:rPr>
          <w:rFonts w:hint="eastAsia"/>
          <w:b w:val="0"/>
          <w:bCs/>
        </w:rPr>
        <w:t>八、竞赛样题</w:t>
      </w:r>
    </w:p>
    <w:p w14:paraId="5E451E07">
      <w:pPr>
        <w:pStyle w:val="12"/>
        <w:spacing w:line="360" w:lineRule="auto"/>
        <w:ind w:left="0" w:leftChars="0" w:firstLine="560"/>
      </w:pPr>
      <w:r>
        <w:rPr>
          <w:rFonts w:hint="eastAsia" w:ascii="仿宋_GB2312" w:hAnsi="仿宋_GB2312" w:eastAsia="仿宋_GB2312" w:cs="仿宋_GB2312"/>
          <w:sz w:val="28"/>
          <w:szCs w:val="28"/>
        </w:rPr>
        <w:t>本赛项共包含三个比赛模块，具体内容如下表所示：</w:t>
      </w:r>
    </w:p>
    <w:p w14:paraId="687D8E77">
      <w:pPr>
        <w:pStyle w:val="12"/>
        <w:spacing w:line="360" w:lineRule="auto"/>
        <w:ind w:left="0" w:leftChars="0" w:firstLine="480"/>
        <w:jc w:val="center"/>
        <w:rPr>
          <w:rFonts w:ascii="黑体" w:hAnsi="黑体" w:eastAsia="黑体" w:cs="黑体"/>
          <w:sz w:val="24"/>
        </w:rPr>
      </w:pPr>
      <w:r>
        <w:rPr>
          <w:rFonts w:hint="eastAsia" w:ascii="黑体" w:hAnsi="黑体" w:eastAsia="黑体" w:cs="黑体"/>
          <w:sz w:val="24"/>
        </w:rPr>
        <w:t>表 各模块权重占比及竞赛时间</w:t>
      </w:r>
    </w:p>
    <w:tbl>
      <w:tblPr>
        <w:tblStyle w:val="13"/>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069"/>
        <w:gridCol w:w="1915"/>
        <w:gridCol w:w="1915"/>
      </w:tblGrid>
      <w:tr w14:paraId="777833E9">
        <w:tblPrEx>
          <w:tblCellMar>
            <w:top w:w="0" w:type="dxa"/>
            <w:left w:w="108" w:type="dxa"/>
            <w:bottom w:w="0" w:type="dxa"/>
            <w:right w:w="108" w:type="dxa"/>
          </w:tblCellMar>
        </w:tblPrEx>
        <w:trPr>
          <w:cantSplit/>
          <w:trHeight w:val="490" w:hRule="atLeast"/>
          <w:jc w:val="center"/>
        </w:trPr>
        <w:tc>
          <w:tcPr>
            <w:tcW w:w="904" w:type="pct"/>
            <w:vAlign w:val="center"/>
          </w:tcPr>
          <w:p w14:paraId="58704B53">
            <w:pPr>
              <w:keepLines/>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1821" w:type="pct"/>
            <w:vAlign w:val="center"/>
          </w:tcPr>
          <w:p w14:paraId="30CBA0A3">
            <w:pPr>
              <w:keepLines/>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模块名称</w:t>
            </w:r>
          </w:p>
        </w:tc>
        <w:tc>
          <w:tcPr>
            <w:tcW w:w="1136" w:type="pct"/>
            <w:vAlign w:val="center"/>
          </w:tcPr>
          <w:p w14:paraId="2E15CE5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权重占比（%）</w:t>
            </w:r>
          </w:p>
        </w:tc>
        <w:tc>
          <w:tcPr>
            <w:tcW w:w="1136" w:type="pct"/>
            <w:vAlign w:val="center"/>
          </w:tcPr>
          <w:p w14:paraId="2FA88D0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竞赛时间（分）</w:t>
            </w:r>
          </w:p>
        </w:tc>
      </w:tr>
      <w:tr w14:paraId="4764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904" w:type="pct"/>
            <w:vAlign w:val="center"/>
          </w:tcPr>
          <w:p w14:paraId="628141A6">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821" w:type="pct"/>
            <w:vAlign w:val="center"/>
          </w:tcPr>
          <w:p w14:paraId="5A24D5D6">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数字营销推广</w:t>
            </w:r>
          </w:p>
        </w:tc>
        <w:tc>
          <w:tcPr>
            <w:tcW w:w="1136" w:type="pct"/>
            <w:vAlign w:val="center"/>
          </w:tcPr>
          <w:p w14:paraId="49B487CB">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1136" w:type="pct"/>
            <w:vAlign w:val="center"/>
          </w:tcPr>
          <w:p w14:paraId="1F0962C0">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120</w:t>
            </w:r>
          </w:p>
        </w:tc>
      </w:tr>
      <w:tr w14:paraId="617F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904" w:type="pct"/>
            <w:vAlign w:val="center"/>
          </w:tcPr>
          <w:p w14:paraId="3BCAACAA">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821" w:type="pct"/>
            <w:vAlign w:val="center"/>
          </w:tcPr>
          <w:p w14:paraId="4C5B6AF5">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直播营销</w:t>
            </w:r>
          </w:p>
        </w:tc>
        <w:tc>
          <w:tcPr>
            <w:tcW w:w="1136" w:type="pct"/>
            <w:vAlign w:val="center"/>
          </w:tcPr>
          <w:p w14:paraId="6825A4C5">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40</w:t>
            </w:r>
          </w:p>
        </w:tc>
        <w:tc>
          <w:tcPr>
            <w:tcW w:w="1136" w:type="pct"/>
            <w:vAlign w:val="center"/>
          </w:tcPr>
          <w:p w14:paraId="017446F2">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180</w:t>
            </w:r>
          </w:p>
        </w:tc>
      </w:tr>
      <w:tr w14:paraId="5DEF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04" w:type="pct"/>
            <w:vAlign w:val="center"/>
          </w:tcPr>
          <w:p w14:paraId="2A2F8992">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821" w:type="pct"/>
            <w:vAlign w:val="center"/>
          </w:tcPr>
          <w:p w14:paraId="456F4A9B">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新媒体营销</w:t>
            </w:r>
          </w:p>
        </w:tc>
        <w:tc>
          <w:tcPr>
            <w:tcW w:w="1136" w:type="pct"/>
            <w:vAlign w:val="center"/>
          </w:tcPr>
          <w:p w14:paraId="79201B57">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w:t>
            </w:r>
          </w:p>
        </w:tc>
        <w:tc>
          <w:tcPr>
            <w:tcW w:w="1136" w:type="pct"/>
            <w:vAlign w:val="center"/>
          </w:tcPr>
          <w:p w14:paraId="4263D949">
            <w:pPr>
              <w:keepLines/>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90</w:t>
            </w:r>
          </w:p>
        </w:tc>
      </w:tr>
    </w:tbl>
    <w:p w14:paraId="4C860960">
      <w:pPr>
        <w:keepNext w:val="0"/>
        <w:keepLines w:val="0"/>
        <w:pageBreakBefore w:val="0"/>
        <w:widowControl w:val="0"/>
        <w:kinsoku/>
        <w:wordWrap/>
        <w:overflowPunct/>
        <w:topLinePunct w:val="0"/>
        <w:autoSpaceDE/>
        <w:autoSpaceDN/>
        <w:bidi w:val="0"/>
        <w:adjustRightInd/>
        <w:snapToGrid/>
        <w:spacing w:before="157" w:beforeLines="50" w:line="360" w:lineRule="auto"/>
        <w:ind w:firstLine="562" w:firstLineChars="200"/>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模块一：数字营销推广</w:t>
      </w:r>
    </w:p>
    <w:p w14:paraId="0EE7D21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（1）背景资料</w:t>
      </w:r>
    </w:p>
    <w:p w14:paraId="02132DD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请在给定的推广资金范围内，在相同的竞争环境下，为同一家企业通过媒体平台进行图文预告等图文内容的推广和商品介绍等视频内容的推广。选手需要结合推广资金及投放对象，根据给定的背景资料，分析图文内容和视频内容，确定目标受众群体，通过人群标签圈定目标受众，以付费推广方式获得图文、视频在不同广告位置的强势展现机会，增加展现量和点击量，将信息传递给目标受众，促进商业价值变现。</w:t>
      </w:r>
    </w:p>
    <w:p w14:paraId="5D77B26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1）企业介绍</w:t>
      </w:r>
    </w:p>
    <w:p w14:paraId="4EA5E5BA">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玫莱雅集团是我国时尚消费品牌，主要经营女装、男装、男女鞋履、香水、化妆品等消费品，具体可以分为服装、鞋履和化妆品三条产业线，是一家集研发、设计、生产、销售、品牌于一体的全产业链集团，自主拥有多处综合性设计生产制造工厂，任意一家都能独立完成相应产品的生产及售后保障服务，通过多年的钻研与累积，拥有自主创新产品的实力，致力于打造更优质的用户体验，品牌战略也在不断完善与明确。</w:t>
      </w:r>
    </w:p>
    <w:p w14:paraId="7CF9BB43">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双十一大促临近，为了进行品牌宣传与产品销售，集团市场部策划了多场直播活动，并策划制作了图文预告、品牌故事图文、产品介绍视频、品牌介绍视频等多种形式和营销目的的内容素材，交予数字营销推广人员进行推广预热。</w:t>
      </w:r>
    </w:p>
    <w:p w14:paraId="119930E9">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2）企业产品介绍</w:t>
      </w:r>
    </w:p>
    <w:p w14:paraId="0BA132E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集团拥有服装、鞋履和化妆品三条产业线，不同产业线下又有不同类型的产品。</w:t>
      </w:r>
    </w:p>
    <w:p w14:paraId="4590D68B">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①服装产业线</w:t>
      </w:r>
    </w:p>
    <w:p w14:paraId="25706E2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服装业线产品类型丰富，为了进行秋冬季新品服装产品的销售，</w:t>
      </w:r>
      <w:bookmarkStart w:id="0" w:name="_Hlk84764602"/>
      <w:r>
        <w:rPr>
          <w:rFonts w:hint="eastAsia" w:ascii="仿宋_GB2312" w:hAnsi="仿宋_GB2312" w:eastAsia="仿宋_GB2312" w:cs="仿宋_GB2312"/>
          <w:sz w:val="28"/>
          <w:szCs w:val="28"/>
        </w:rPr>
        <w:t>此次营销活动重点选取了衬衫、毛衣、皮衣、连衣裙四款产品，配合市场活动。</w:t>
      </w:r>
    </w:p>
    <w:bookmarkEnd w:id="0"/>
    <w:p w14:paraId="2288CE0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衬衫是一种穿在内外上衣之间、也可单独穿用的上衣，男衬衫通常胸前有口袋，袖口有袖头。基本参数包含产品名称、品牌、尺码、产品颜色、风格、季节、领型、面料、类型、适用对象、袖长、袖型、装饰、图案、服装工艺、厚薄、纽扣、版型等。</w:t>
      </w:r>
    </w:p>
    <w:p w14:paraId="7D19F20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毛衣是以机器或手工编织的毛线上衣。现在人类不仅充分利用各类动、植物等天然纤维编织毛衣，更研发出多种化学纤维、矿物纤维。基本参数包含产品名称、品牌、产品尺码、产品颜色、版型、面料、类型、适用人群、适用季节、舒适度、厚薄、纽扣、领口、袖型、衣长、袖长、装饰、图案等。</w:t>
      </w:r>
    </w:p>
    <w:p w14:paraId="2E28B27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皮衣是采用动物皮经过特定工艺加工成的皮革做成的衣服，主要作用是防寒，皮衣皮质柔软，没有残疵点，色彩均匀，没有明显色差，有光泽，颜色协调。基本参数包括产品名称、品牌、产品尺码、产品颜色、产品光泽度、版型、面料、适用年龄、适用人群、适用季节、图案、里衬、领型、厚薄、拉链、袖型、袖长、衣长等。</w:t>
      </w:r>
    </w:p>
    <w:p w14:paraId="6639411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连衣裙是指上衣和裙子连成一体式的连裙装，款式变化莫测、种类繁多，是女性喜欢的服装首选之一。基本参数包含产品名称、品牌、适用年龄、尺码、图案、颜色、腰型、衣门襟、袖型、袖长、裙长、裙型、廓形、材质、季节、组合形式等。</w:t>
      </w:r>
    </w:p>
    <w:p w14:paraId="591F2BE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②鞋履产业线</w:t>
      </w:r>
    </w:p>
    <w:p w14:paraId="77EE3A5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此次市场活动重点选取了鞋履产业线的运动鞋、高跟鞋、棉拖鞋三款产品。</w:t>
      </w:r>
    </w:p>
    <w:p w14:paraId="4645ABA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运动鞋，是根据人们参加运动或旅游的特点设计制造的鞋子，鞋底一般柔软而富有弹性，能起一定的缓冲作用，运动时能增强弹性，有的还能防止脚踝受伤，所以，在进行体育运动时，大都要穿运动鞋，尤其是高烈度体能运动。基本参数包括产品名称、品牌、使用年龄、适用场景、适合路面、闭合方式、适用性别、鞋底功能、鞋面功能等。</w:t>
      </w:r>
    </w:p>
    <w:p w14:paraId="60103C2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高跟鞋有修长，体现气质的作用，不同场合有不同类型的高跟鞋，是女性日常鞋履类型之一，基本参数包括产品名称、品牌、闭合方式、图案、颜色、风格、鞋跟款式、鞋跟高度、鞋头款式、适用场合、适用对象等。</w:t>
      </w:r>
    </w:p>
    <w:p w14:paraId="2D16C84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棉拖鞋是拖鞋的一种，其特点是质地绵软护脚，穿着舒适，其功能和款式也在每年不断更新升级。在今天，棉拖鞋已经由过去的季节性产品变成了四季适宜的足底之物。基本参数包括产品名称、品牌、功能、款式、图案、颜色、风格、适用场合、适用对象等。</w:t>
      </w:r>
    </w:p>
    <w:p w14:paraId="632F33EB">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③</w:t>
      </w:r>
      <w:bookmarkStart w:id="1" w:name="_Hlk84764614"/>
      <w:r>
        <w:rPr>
          <w:rFonts w:hint="eastAsia" w:ascii="仿宋_GB2312" w:hAnsi="仿宋_GB2312" w:eastAsia="仿宋_GB2312" w:cs="仿宋_GB2312"/>
          <w:sz w:val="28"/>
          <w:szCs w:val="28"/>
        </w:rPr>
        <w:t>化妆品产业线</w:t>
      </w:r>
    </w:p>
    <w:bookmarkEnd w:id="1"/>
    <w:p w14:paraId="01140E2D">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此次市场活动重点选取了化妆品产业线的眼霜、精华、洗面奶三款产品。</w:t>
      </w:r>
    </w:p>
    <w:p w14:paraId="5D1C0C9E">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眼霜是指可以缓解由于紫外线照射，长时间电脑辐射，不良生活习惯等导致黑眼圈、眼袋、鱼尾纹和脂肪粒等问题的化妆品。基本参数包含产品名称、品牌、产品类型、适用人群、产地、净含量、功效、主要成分、产品颜色、产品气味、包装设计、适用部位、限制使用日期、批准文号、规格类型、是否为特殊用途化妆品等。</w:t>
      </w:r>
    </w:p>
    <w:p w14:paraId="72E87D5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精华是含有功效成分多、功效齐全、使用效果明显，可以改善稳定皮肤状况的化妆品。基本参数包含产品名称、品牌、净含量、功效、主要成分、产品质地、产品气味、包装设计、保质期、上市时间、产地、适合肤质、批准文号、规格类型、是否为特殊用途化妆品等。</w:t>
      </w:r>
    </w:p>
    <w:p w14:paraId="039E1A59">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洗面奶属于洁肤化妆品，其目的是清除皮肤上的污垢，使皮肤清爽，有助于保持皮肤正常生理状态。基本参数包括产品名称、品牌、净含量、适合肤质、适用部位、适用对象、功效、起泡程度、产品质地、主要成分、包装设计、保质期、上市时间、产地、批准文号、规格类型、是否为特殊用途化妆品等。</w:t>
      </w:r>
    </w:p>
    <w:p w14:paraId="73F2CD2A">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3）图文介绍</w:t>
      </w:r>
    </w:p>
    <w:p w14:paraId="1BDE027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数字图文内容是最常见的形式，包括纯文字型、纯图片型、图文型等多种类型，可以出现在企业官网、媒体平台等诸多渠道中。为了达到更好的营销效果，企业规划系列图文提高影响力，以图文为形式，以内容为载体，涉及直播预告、品牌宣传等多种营销目的。</w:t>
      </w:r>
    </w:p>
    <w:p w14:paraId="2529155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4）视频介绍</w:t>
      </w:r>
    </w:p>
    <w:p w14:paraId="7C436579">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视频可以出现在电视、电影、视频平台、直播平台、自媒体等诸多渠道中，是近年来成长最快的内容类型，为了达到更好的营销效果，企业规划系列视频提高影响力，以视频为形式，以内容为载体，涉及产品介绍、品牌宣传等多种营销目的。</w:t>
      </w:r>
    </w:p>
    <w:p w14:paraId="6C6BCF4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（2）具体考核要求</w:t>
      </w:r>
    </w:p>
    <w:p w14:paraId="722A1DF5">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参赛选手根据企业介绍、企业产品和图文内容、视频内容，结合推广资金，制定并实施数字营销推广策略。通过人群标签圈定目标受众，以付费方式获得不同广告位置网页信息的强势展现机会，并带来更多的展现量和点击量，将信息传递给目标受众，促进商业价值变现。包括设置广告组、设置广告计划、设置创意、推广效果数据分析与优化等操作。</w:t>
      </w:r>
    </w:p>
    <w:p w14:paraId="0E565F6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1）设置广告组</w:t>
      </w:r>
    </w:p>
    <w:p w14:paraId="70F49DDB">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组主要包括选择推广目的、设置账户日预算、设置广告组名称。推广目的包括图文推广和视频推广，需要根据推广对象选择；设置账户预算包括不限和指定预算两种，不限是指不限制广告组的最高预算，消耗最高额度为给定的推广资金，指定预算是指限制广告组的最高预算，消耗最高额度为设置金额，最高不超过给定的推广资金，广告组达到设置的账户预算则停止投放；设置广告组名称是指为广告组命名，方便识记即可，不影响推广效果。</w:t>
      </w:r>
    </w:p>
    <w:p w14:paraId="767B0EE8">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2）设置广告计划</w:t>
      </w:r>
    </w:p>
    <w:p w14:paraId="07F7F2EE">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设置广告计划包括选择投放的视频或图文、设置广告受众、设置广告预算和出价、设置广告计划名称。</w:t>
      </w:r>
    </w:p>
    <w:p w14:paraId="773A8F1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①选择投放的视频或图文</w:t>
      </w:r>
    </w:p>
    <w:p w14:paraId="7F61E20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选择投放的视频或图文主要是图文、视频投放对象的选择。为了进行营销活动，企业制作了多个不同营销目的的图文、视频内容，选手需要根据营销目的选择图文、视频进行推广，图文、视频内容不同，营销目的不同，对应的目标受众不同。</w:t>
      </w:r>
    </w:p>
    <w:p w14:paraId="1BFE195E">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②设置广告受众</w:t>
      </w:r>
    </w:p>
    <w:p w14:paraId="71CE80D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受众是指从地域、性别、年龄、兴趣分类、兴趣关键词、平台、APP行为定向、手机品牌、网络、运营商等不同维度定位目标受众，当使用多种定向时，视频或图文内容会获得在同时满足所有定向条件的目标受众面前展现的机会，具体是否展现还要看目标人群是否相关、预算、出价、投放时段等其他方面的设置。</w:t>
      </w:r>
    </w:p>
    <w:p w14:paraId="52DC390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不同推广地域下浏览信息的目标受众数量不同，点击图文或视频广告的目标受众数量也会有所不同，通过设置推广地域可以</w:t>
      </w:r>
      <w:bookmarkStart w:id="2" w:name="_Hlk84758161"/>
      <w:r>
        <w:rPr>
          <w:rFonts w:hint="eastAsia" w:ascii="仿宋_GB2312" w:hAnsi="仿宋_GB2312" w:eastAsia="仿宋_GB2312" w:cs="仿宋_GB2312"/>
          <w:sz w:val="28"/>
          <w:szCs w:val="28"/>
        </w:rPr>
        <w:t>限定视频或图文只在选定的地域展现</w:t>
      </w:r>
      <w:bookmarkEnd w:id="2"/>
      <w:r>
        <w:rPr>
          <w:rFonts w:hint="eastAsia" w:ascii="仿宋_GB2312" w:hAnsi="仿宋_GB2312" w:eastAsia="仿宋_GB2312" w:cs="仿宋_GB2312"/>
          <w:sz w:val="28"/>
          <w:szCs w:val="28"/>
        </w:rPr>
        <w:t>。</w:t>
      </w:r>
    </w:p>
    <w:p w14:paraId="29F03ED8">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多数产品在用途上有不同的性别、年龄特征，不同年龄、性别的目标受众对消费品的需求往往存在很大的差异，在购买行为和购买动机方面也有很大的差异，数量也不相同，通过性别、年龄设置广告目标受众，可以限定视频或图文只向性别和年龄符合设置条件的目标受众展现。</w:t>
      </w:r>
    </w:p>
    <w:p w14:paraId="06878661">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兴趣定向分为兴趣分类定向和兴趣关键词定向，不同兴趣分类和兴趣关键词对应目标受众的兴趣偏好不同，数量也不相同。要结合产品的特点，通过兴趣分类，找到对与自身产品相关内容感兴趣的受众实现精准投放。可选择符合目标受众特征的多个标签，在使用兴趣分类定向时，多个分类取并集。兴趣关键词定向粒度比兴趣分类更细，通过采用关键词标签技术，精准定位目标受众，有效避免投放资源浪费。如果兴趣分类与兴趣关键词定向同时设置，则定向的目标受众取交集，即覆盖人群必须有某些兴趣点，且对兴趣关键词感兴趣。通过兴趣定向目标受众，可以限定视频或图文只向具有限定兴趣偏好的目标受众展现。</w:t>
      </w:r>
    </w:p>
    <w:p w14:paraId="15A3A81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平台定向是指通过目标受众使用设备的系统类型定向目标受众，分为IOS、Android、PC三种，全面覆盖移动端和PC端流量，通过不同平台定向的目标受众数量不同。</w:t>
      </w:r>
    </w:p>
    <w:p w14:paraId="518C5C3A">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APP行为定向是通过目标受众手机中APP的安装与使用情况，判断目标受众对的兴趣与需求，给予精细的受众定向，APP行为不同反映的目标受众的兴趣偏好不同，对应的目标受众的数量也不相同。</w:t>
      </w:r>
    </w:p>
    <w:p w14:paraId="21BB8B13">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手机品牌定向可以在一定程度上区分目标受众的消费能力，网络类型定向一般适用于对网络要求较高的广告或产品时使用，运营商是区分设备使用网络的移动、联通、电信等运营商，在广告和产品对操作环境和运营商有要求时可进行细分定向，手机品牌不同、网络类型不同、运营商不同，对应的目标受众数量也不相同。</w:t>
      </w:r>
    </w:p>
    <w:p w14:paraId="1E082EB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③设置广告预算和出价</w:t>
      </w:r>
    </w:p>
    <w:p w14:paraId="46BA1438">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设置广告预算和出价包括设置广告预算、投放时段、投放目标、付费方式和出价。</w:t>
      </w:r>
    </w:p>
    <w:p w14:paraId="1218FE0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广告预算设置是指设置当前广告计划的预算，当广告组预算和广告计划预算同时存在时，以两者中最低的为最终预算设置额；投放时段设置是指设置当前广告计划的投放时段，不同时段浏览信息的目标受众数量不同，点击广告信息查看具体介绍的目标受众数量也不同，影响数字营销推广的效果；投放目标分为点击和展示，点击目标下的付费方式CPC，出价时是按照点击出价，展示目标下的付费方式是CPM，出价时是按照展示出价。</w:t>
      </w:r>
    </w:p>
    <w:p w14:paraId="071BA5FD">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出价影响广告排名，在不考虑其他因素时，出价越高，广告排名越靠前，能够带来的广告展示和点击的机会也会越大。排名是指同一目标受众下的广告排名，目标受众不相关，广告不参与排名，也就没有机会展现。除出价外，企业以往发布内容的展现量、点击量、点赞量、点击率等基础数据也会影响广告排名，同一家企业不同选手、不同推广对象的基础数据相同。</w:t>
      </w:r>
    </w:p>
    <w:p w14:paraId="536F99C7">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根据选择的付费方式不同，广告扣费分为按照点击（CPC）和按照展示（CPM）扣费。</w:t>
      </w:r>
    </w:p>
    <w:p w14:paraId="44CA1E23">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④设置广告计划名称</w:t>
      </w:r>
    </w:p>
    <w:p w14:paraId="5E8421E2">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设置广告计划名称是指为当前广告计划命名，方便识记即可，不影响推广效果。</w:t>
      </w:r>
    </w:p>
    <w:p w14:paraId="7E921E7F">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3）设置创意</w:t>
      </w:r>
    </w:p>
    <w:p w14:paraId="25C84294">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设置创意包括投放位置设置、制作创意、设置创意分类和标签等，投放位置设置是选择广告展示的位置；制作创意主要是创意标题的设置等；设置创意分类和标签是指为当前创意选择分类及编辑创意标签。</w:t>
      </w:r>
    </w:p>
    <w:p w14:paraId="05678976">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4）推广效果数据分析与优化</w:t>
      </w:r>
    </w:p>
    <w:p w14:paraId="75282275">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完成所有广告组、广告计划、创意的设置后，可以完成一个周期的推广活动，不同广告组、广告计划、创意的设置带来不同的展示数和点击数，为了获得更好的推广效果，可以对广告效果数据进行分析，并利用预算余额再次进行推广，当预算余额为“0”或不满足最低余额设置限额时，不可再次进行推广，具体推广活动与上相同，包括新建广告组、广告计划、创意等，并完成推广活动，获得一定的展示数和点击数，最终获得的展示数和点击数是两个周期获得展示数之和和点击数之和。</w:t>
      </w:r>
    </w:p>
    <w:p w14:paraId="2946DA71">
      <w:pPr>
        <w:spacing w:line="360" w:lineRule="auto"/>
        <w:ind w:right="210" w:rightChars="100"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模块二：直播营销</w:t>
      </w:r>
    </w:p>
    <w:p w14:paraId="432C176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（1）背景资料</w:t>
      </w:r>
    </w:p>
    <w:p w14:paraId="1614CC5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欢乐多零食专营店是一家网上平台店铺，主营业务是休闲零食的网上销售。店铺计划将在11月份举办一场秋冬季休闲食品主题的专场直播。直播营销人员需要根据市场流量大盘和历史销售数据、商品资料等内容，在给定的资金范围内，策划并执行一场直播，完成市场信息分析、直播规划、脚本策划、创建直播、直播装修、直播推广、直播复盘等过程，并根据背景介绍以及商品资料，策划一场10分钟的直播，通过直播APP完成两款商品的直播演示。</w:t>
      </w:r>
    </w:p>
    <w:p w14:paraId="5BBB4E6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两款商品的介绍如下：</w:t>
      </w:r>
    </w:p>
    <w:p w14:paraId="7CF5522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蛋黄酥：蛋黄酥是由小麦、黄油、蛋黄等做成的传统中式糕点。随着用料的不断升级，蛋黄酥逐渐成为一款网红商品，配料有白砂糖、水、黄豆、豆沙、咸鸭蛋、糯米皮等。</w:t>
      </w:r>
    </w:p>
    <w:p w14:paraId="1D86311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巧克力：巧克力是以巧克力豆作为主料的一种混合型食品,其主要原料是可可豆，可以直接食用，也可被用来制作蛋糕、冰激凌等，在浪漫的情人节，它更是表达爱情少不了的主角。</w:t>
      </w:r>
    </w:p>
    <w:p w14:paraId="767E7FE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（2）考核要求</w:t>
      </w:r>
    </w:p>
    <w:p w14:paraId="548F381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根据背景资料要求，进行数据分析，选出直播所需商品，并进行采购与定价。</w:t>
      </w:r>
    </w:p>
    <w:p w14:paraId="4325632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根据背景资料要求，对直播主题、时间等进行规划，并据此策划直播脚本。</w:t>
      </w:r>
    </w:p>
    <w:p w14:paraId="7CE4E56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根据背景资料要求，创建直播，确定直播的封面、栏目、简介等信息。</w:t>
      </w:r>
    </w:p>
    <w:p w14:paraId="134E3DA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根据背景资料要求，对直播间进行装修，设置相关直播信息。</w:t>
      </w:r>
    </w:p>
    <w:p w14:paraId="70CE27BC">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根据背景资料要求，为直播做推广，提高直播间的流量。</w:t>
      </w:r>
    </w:p>
    <w:p w14:paraId="0DC76E8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根据背景资料要求，对直播间观众的行为数据、商品数据等进行分析。</w:t>
      </w:r>
    </w:p>
    <w:p w14:paraId="389C498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直播时长要达到10分钟。</w:t>
      </w:r>
    </w:p>
    <w:p w14:paraId="02EE7BA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讲解的商品正确关联商品链接。</w:t>
      </w:r>
    </w:p>
    <w:p w14:paraId="47616ED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直播画面始终围绕主播或竞赛商品，画面清晰明亮；直播过程中没有10秒以上的卡顿、冷场。</w:t>
      </w:r>
    </w:p>
    <w:p w14:paraId="0F2E2B0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直播开场包含问好、自我介绍、本次直播计划、促销活动四项内容。</w:t>
      </w:r>
    </w:p>
    <w:p w14:paraId="2EAAE35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有商品属性、特色、卖点的介绍，有商品日常价格、直播促销价的说明，有商品的特写展示。同时，要回答弹幕中出现的相关问题。</w:t>
      </w:r>
    </w:p>
    <w:p w14:paraId="08BCFF8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结尾需要包含引导关注、感谢语等内容。</w:t>
      </w:r>
    </w:p>
    <w:p w14:paraId="4C9EC46D">
      <w:pPr>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模块三：新媒体营销</w:t>
      </w:r>
    </w:p>
    <w:p w14:paraId="606ADFD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（1）背景资料</w:t>
      </w:r>
    </w:p>
    <w:p w14:paraId="3B4F674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上海百雀羚日用化学有限公司（英文缩写∶SPDC）是一家集研究、开发、生产、销售服务为一体的具有八十多年历史的化妆品专业生产企业。公司拥有先进的日化生产设备和检测仪器、仪表，有专门从事日化产品开发和研究的科研人员队伍；公司拥有知名品牌如：百雀羚、凤凰、小百羚、Disney，主要生产的产品大类有∶护肤用品、洗护发用品、个人清洁用品、花露水和美容化妆用品等优质的产品。</w:t>
      </w:r>
    </w:p>
    <w:p w14:paraId="2B2DAEE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百雀羚创立于1931年，拥有八十年专业护肤历史，是中国化妆品行业屈指可数的经典国货厂商。悠久的历史，承载着辉煌的业绩，成就了百雀羚品质如金的美誉。品牌曾多次被评为“上海著名商标”。公司致力于为消费者创造天然温和的精致护肤品。传承经典，勇于创新，百雀羚将传统中医理念与现代科技相结合，先后推出了多款“草本护肤”系列产品，引领国货护肤新概念。 </w:t>
      </w:r>
    </w:p>
    <w:p w14:paraId="06C4717E">
      <w:pPr>
        <w:spacing w:line="360" w:lineRule="auto"/>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362075" cy="1536700"/>
            <wp:effectExtent l="0" t="0" r="9525" b="2540"/>
            <wp:docPr id="25" name="图片 2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ogo-1"/>
                    <pic:cNvPicPr>
                      <a:picLocks noChangeAspect="1"/>
                    </pic:cNvPicPr>
                  </pic:nvPicPr>
                  <pic:blipFill>
                    <a:blip r:embed="rId6"/>
                    <a:stretch>
                      <a:fillRect/>
                    </a:stretch>
                  </pic:blipFill>
                  <pic:spPr>
                    <a:xfrm>
                      <a:off x="0" y="0"/>
                      <a:ext cx="1362075" cy="1536700"/>
                    </a:xfrm>
                    <a:prstGeom prst="rect">
                      <a:avLst/>
                    </a:prstGeom>
                  </pic:spPr>
                </pic:pic>
              </a:graphicData>
            </a:graphic>
          </wp:inline>
        </w:drawing>
      </w:r>
    </w:p>
    <w:p w14:paraId="49A4915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作为东方护肤智慧的传承创新者，匠心营造世界级产品品质；顺应高效、安全的护肤趋势，于2020年以“科技新草本”的全新品牌定位，开启战略升级。与国际生物科技巨头德国默克公司正式签署战略合作，将突破性高科技原初因®ProVTA®应用到百雀羚帧颜淡纹修护系列中，并携手探索“高效科技+东方草本”的完美融合，以现代科技赋能东方草本，成就东方大美的品牌典范。</w:t>
      </w:r>
    </w:p>
    <w:p w14:paraId="28E13C1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历经80载，百雀羚由“天然不刺激”升级为“科技新草本”的全新品牌定位，以科技赋能草本，草本为核、科技加持，最大化激发草本的护肤潜能。</w:t>
      </w:r>
    </w:p>
    <w:p w14:paraId="526C71A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✱企业荣誉</w:t>
      </w:r>
    </w:p>
    <w:p w14:paraId="0720429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百雀羚一直提倡自我创新，在肌肤科研领域不断深耕，这让品牌在国际舞台上都获得了很高荣誉。</w:t>
      </w:r>
    </w:p>
    <w:p w14:paraId="6B4D75A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2017年，百雀羚成为国际化妆品化学家联合会（IFSCC）在中国的首个金牌会员，并多次在IFSCC上屡获奖项。在Brand Finance“全球最有价值的50个化妆品和个护品牌”排行榜中，百雀羚连续3年入选，并于2021年成为唯一跻身全球top15的中国美妆品牌。  </w:t>
      </w:r>
    </w:p>
    <w:p w14:paraId="461E0F60">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987040" cy="194246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987040" cy="1942465"/>
                    </a:xfrm>
                    <a:prstGeom prst="rect">
                      <a:avLst/>
                    </a:prstGeom>
                    <a:noFill/>
                    <a:ln>
                      <a:noFill/>
                    </a:ln>
                  </pic:spPr>
                </pic:pic>
              </a:graphicData>
            </a:graphic>
          </wp:inline>
        </w:drawing>
      </w:r>
      <w:r>
        <w:rPr>
          <w:rFonts w:hint="eastAsia" w:ascii="仿宋_GB2312" w:hAnsi="仿宋_GB2312" w:eastAsia="仿宋_GB2312" w:cs="仿宋_GB2312"/>
          <w:sz w:val="28"/>
          <w:szCs w:val="28"/>
        </w:rPr>
        <w:drawing>
          <wp:inline distT="0" distB="0" distL="114300" distR="114300">
            <wp:extent cx="3011170" cy="2518410"/>
            <wp:effectExtent l="0" t="0" r="6350" b="11430"/>
            <wp:docPr id="4" name="图片 4" descr="企业荣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荣誉-3"/>
                    <pic:cNvPicPr>
                      <a:picLocks noChangeAspect="1"/>
                    </pic:cNvPicPr>
                  </pic:nvPicPr>
                  <pic:blipFill>
                    <a:blip r:embed="rId8"/>
                    <a:stretch>
                      <a:fillRect/>
                    </a:stretch>
                  </pic:blipFill>
                  <pic:spPr>
                    <a:xfrm>
                      <a:off x="0" y="0"/>
                      <a:ext cx="3011170" cy="2518410"/>
                    </a:xfrm>
                    <a:prstGeom prst="rect">
                      <a:avLst/>
                    </a:prstGeom>
                  </pic:spPr>
                </pic:pic>
              </a:graphicData>
            </a:graphic>
          </wp:inline>
        </w:drawing>
      </w:r>
    </w:p>
    <w:p w14:paraId="34F3C33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✱企业文化</w:t>
      </w:r>
    </w:p>
    <w:p w14:paraId="0A5C0D8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我们生产和销售具有优越性价比的超值产品，让所有中国人用上超值和安全可靠的产品；</w:t>
      </w:r>
    </w:p>
    <w:p w14:paraId="062C1C3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为此，我们将获得不断增长的市场份额和利润，并实现员工，股东，客户三赢。</w:t>
      </w:r>
    </w:p>
    <w:p w14:paraId="1253B39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客户为上：不以牺牲客户的利益为代价去追求短期利益的最大化；</w:t>
      </w:r>
    </w:p>
    <w:p w14:paraId="6198310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主人翁的精神：像对待自己的事情一样，对待每天的工作和每一个决定；</w:t>
      </w:r>
    </w:p>
    <w:p w14:paraId="61C77E9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积极求胜：“我能行”的态度，注重执行；</w:t>
      </w:r>
    </w:p>
    <w:p w14:paraId="1803C68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坦诚互信：诚实正直，互相信任，就事论事，相互关爱，团结合作；</w:t>
      </w:r>
    </w:p>
    <w:p w14:paraId="66065A6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心怀感恩：怀着一颗感恩的心，不要忘记说“谢谢你”；</w:t>
      </w:r>
    </w:p>
    <w:p w14:paraId="3620074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我们乐意倾听，我们设法满足并超越客户的期望；</w:t>
      </w:r>
    </w:p>
    <w:p w14:paraId="3E2CB98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有策略地着眼于每天的工作；</w:t>
      </w:r>
    </w:p>
    <w:p w14:paraId="00D3B8E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学习和创新是我们成功的基石。</w:t>
      </w:r>
    </w:p>
    <w:p w14:paraId="3A92B46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✱品牌故事</w:t>
      </w:r>
    </w:p>
    <w:p w14:paraId="157F9F9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1917年，上海嘉定县黄渡乡一个名叫顾植民的年轻人，年仅14岁便从乡下跑到上海城里谋生，先后在烟纸店、小茶馆和工厂中当学徒。之后，凭着过人的聪慧与勤快，又先后到典当行当了账房先生，到百货商店当了“跑街先生”。1929年，这位26岁的年轻人通过应聘，在闻名遐迩的上海先施百货公司谋得了人生中第一份体面的差事——化妆品销售员。</w:t>
      </w:r>
    </w:p>
    <w:p w14:paraId="51BDF70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当顾植民搞清楚化妆品的生产流程、进出货渠道以及利润来源后，这位怀揣梦想的年轻人开始筹划自己的化妆品公司。1937年，顾植民辞去工作，在位于崇德路（今普安路）91弄（培福里）33号的一幢三层楼的石库门楼房内创办了富贝康化妆品有限公司。</w:t>
      </w:r>
    </w:p>
    <w:p w14:paraId="368E7D2B">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1931年，“百雀羚”品牌创立。关于这个品牌的来历，有传闻说：一天，顾植民在路上遇见一算命瞎子，便上前询问该为自己的产品取个什么样的名字？盲人掐指细算后遂定名“百雀羚”。百雀，为百鸟朝凤之意；羚，是上海话“灵光”的谐音。顾植民一听，正中下怀，当场拍板定下。在他看来，“百”意味着许许多多，“雀”指的是各种鸟类；“羚”是鸟儿羽毛中所分泌出来的油脂。“百雀羚”，顾名思义，便是从鸟羽中提炼出来的油脂精华。</w:t>
      </w:r>
    </w:p>
    <w:p w14:paraId="3EC575D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✱品牌发展历程 </w:t>
      </w:r>
    </w:p>
    <w:p w14:paraId="4D29C36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是很多人喜欢的一个牌子，它的发展，也经过了很长的一段时间。百雀羚起源于1931年，上海富贝康公司引进德国配方，中国第一代护肤品成功问世；扬名自30年代初，百雀羚护肤香脂热销全国及东南亚主要地区，成为名媛贵族首选的护肤佳品。到1949年上海新中国成立之前，“百雀羚”的产品已遍布全国，北到哈尔滨，南到香港，西到青海，甚至远销至东南亚各国。</w:t>
      </w:r>
    </w:p>
    <w:p w14:paraId="02875EBD">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3689985" cy="1591310"/>
            <wp:effectExtent l="0" t="0" r="13335" b="889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9"/>
                    <a:stretch>
                      <a:fillRect/>
                    </a:stretch>
                  </pic:blipFill>
                  <pic:spPr>
                    <a:xfrm>
                      <a:off x="0" y="0"/>
                      <a:ext cx="3689985" cy="1591310"/>
                    </a:xfrm>
                    <a:prstGeom prst="rect">
                      <a:avLst/>
                    </a:prstGeom>
                    <a:noFill/>
                    <a:ln w="9525">
                      <a:noFill/>
                    </a:ln>
                  </pic:spPr>
                </pic:pic>
              </a:graphicData>
            </a:graphic>
          </wp:inline>
        </w:drawing>
      </w:r>
    </w:p>
    <w:p w14:paraId="19D4EF2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发展80年代后，国内首创肌肤由单纯的“保护”诉求，进入全面“护理、滋养”的护肤新理念，旗下的百雀羚、凤凰产品系列风靡全国；20世纪90年代初，由于外资化妆品牌大举进入中国，百雀羚作为本土品牌渐渐沉寂。</w:t>
      </w:r>
    </w:p>
    <w:p w14:paraId="63A330A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2000年，改制为民营的上海百雀羚日用化学品公司成立后，引入产业资本及专业团队，开启了“百雀羚”艰难的品牌转型之路。</w:t>
      </w:r>
    </w:p>
    <w:p w14:paraId="5411214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2001年，百雀羚公司携手世界500强前列的美国迪士尼公司，联合推出儿童护理系列产品－小百羚。该品牌的诞生震撼业界，并迅速取得了可喜成绩。同时公司在产品开发、技术配方及生产流程上均获得了美国迪士尼公司审核的A级评价。</w:t>
      </w:r>
    </w:p>
    <w:p w14:paraId="2B6B3DD3">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089660" cy="1750695"/>
            <wp:effectExtent l="0" t="0" r="7620"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1089660" cy="1750695"/>
                    </a:xfrm>
                    <a:prstGeom prst="rect">
                      <a:avLst/>
                    </a:prstGeom>
                    <a:noFill/>
                    <a:ln>
                      <a:noFill/>
                    </a:ln>
                  </pic:spPr>
                </pic:pic>
              </a:graphicData>
            </a:graphic>
          </wp:inline>
        </w:drawing>
      </w:r>
    </w:p>
    <w:p w14:paraId="20B9B26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2002年百雀羚“凤凰甘油一号”诞生，无香精无色素的安全配方，广受万千女性追捧；2004年推出凡士林保湿润肤霜，以其卓越的安全护肤品质，风靡全国，在网络上被誉为“中国小黄油”。</w:t>
      </w:r>
    </w:p>
    <w:p w14:paraId="0AEAE076">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561465" cy="1623695"/>
            <wp:effectExtent l="0" t="0" r="825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1561465" cy="1623695"/>
                    </a:xfrm>
                    <a:prstGeom prst="rect">
                      <a:avLst/>
                    </a:prstGeom>
                    <a:noFill/>
                    <a:ln>
                      <a:noFill/>
                    </a:ln>
                  </pic:spPr>
                </pic:pic>
              </a:graphicData>
            </a:graphic>
          </wp:inline>
        </w:drawing>
      </w:r>
    </w:p>
    <w:p w14:paraId="6CFE748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2006年，展开“草本能量探索工程”。百雀羚深谙草本，不仅保证原料草本的完美天然品质，更通过全新研发的冷浸泡萃取技术，解决了活性物质无法完整保留等长期困扰草本护肤行业的难题，领先业界。</w:t>
      </w:r>
    </w:p>
    <w:p w14:paraId="0239A8A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2008年，凝结百雀羚科研成果的新一代草本精萃系列开始畅销。质地温和醇厚，效果安全卓越，从而将草本能量科技与天然护肤理念引领至新的高度之上。</w:t>
      </w:r>
    </w:p>
    <w:p w14:paraId="34C504CC">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05000" cy="1805305"/>
            <wp:effectExtent l="0" t="0" r="0" b="825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1905000" cy="1805305"/>
                    </a:xfrm>
                    <a:prstGeom prst="rect">
                      <a:avLst/>
                    </a:prstGeom>
                    <a:noFill/>
                    <a:ln>
                      <a:noFill/>
                    </a:ln>
                  </pic:spPr>
                </pic:pic>
              </a:graphicData>
            </a:graphic>
          </wp:inline>
        </w:drawing>
      </w:r>
    </w:p>
    <w:p w14:paraId="65DC388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2015年，百雀羚肌初赋活系列上市，持续以草本能量打造抗老系列，以更丰富的草本护肤佳品引领国内化妆品市场新的巅峰。</w:t>
      </w:r>
    </w:p>
    <w:p w14:paraId="0FAED1F5">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66595" cy="1702435"/>
            <wp:effectExtent l="0" t="0" r="14605" b="444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3"/>
                    <a:stretch>
                      <a:fillRect/>
                    </a:stretch>
                  </pic:blipFill>
                  <pic:spPr>
                    <a:xfrm>
                      <a:off x="0" y="0"/>
                      <a:ext cx="1966595" cy="1702435"/>
                    </a:xfrm>
                    <a:prstGeom prst="rect">
                      <a:avLst/>
                    </a:prstGeom>
                    <a:noFill/>
                    <a:ln>
                      <a:noFill/>
                    </a:ln>
                  </pic:spPr>
                </pic:pic>
              </a:graphicData>
            </a:graphic>
          </wp:inline>
        </w:drawing>
      </w:r>
    </w:p>
    <w:p w14:paraId="796A31B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2020年百雀羚集团科技新草本战略升级的第一步，就是与多年的合作伙伴德国默克集团达成了战略合作，并于年共同重磅推出了淡纹抗老系列：百雀羚帧颜淡纹修护系列。</w:t>
      </w:r>
    </w:p>
    <w:p w14:paraId="5A7AA22D">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938655" cy="1938655"/>
            <wp:effectExtent l="0" t="0" r="12065" b="12065"/>
            <wp:docPr id="14" name="图片 14" descr="女士保湿套装-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女士保湿套装-3"/>
                    <pic:cNvPicPr>
                      <a:picLocks noChangeAspect="1"/>
                    </pic:cNvPicPr>
                  </pic:nvPicPr>
                  <pic:blipFill>
                    <a:blip r:embed="rId14"/>
                    <a:stretch>
                      <a:fillRect/>
                    </a:stretch>
                  </pic:blipFill>
                  <pic:spPr>
                    <a:xfrm>
                      <a:off x="0" y="0"/>
                      <a:ext cx="1938655" cy="1938655"/>
                    </a:xfrm>
                    <a:prstGeom prst="rect">
                      <a:avLst/>
                    </a:prstGeom>
                  </pic:spPr>
                </pic:pic>
              </a:graphicData>
            </a:graphic>
          </wp:inline>
        </w:drawing>
      </w:r>
    </w:p>
    <w:p w14:paraId="2D93859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✱品牌理念</w:t>
      </w:r>
    </w:p>
    <w:p w14:paraId="6898D30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安全护肤是东方护肤之道，百雀羚由来秉持这一理念，多年潜心钻研安全无刺激的草本护肤方法，遵循五行“相辅相生”的平衡理念，从《本草纲目》和《神农本草经》等医学圣典中，探寻现代草本护肤应用指法。专设“草本工坊”，探寻现代草本护肤之道，成立汉方草本研究，萃取自然精华，草本精心配伍，提炼出温和醇厚的五行能量元。为肌肤注入鲜活的草本能量，安全倍护，再现天生美肌。</w:t>
      </w:r>
    </w:p>
    <w:p w14:paraId="25B0E99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百雀羚来自东方，源于中国，讲究东方美学的平衡和谐之道。相信对于肌肤，强施不如调养，雕琢不如自然。以草本自然能量，滋润养护肌肤。让属于你的现代东方之美，自然散发。</w:t>
      </w:r>
    </w:p>
    <w:p w14:paraId="5F6064B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✱产品介绍</w:t>
      </w:r>
    </w:p>
    <w:p w14:paraId="10F0C59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目前百雀羚草本下产品系列主要由帧颜淡纹修护、鎏金奢养、水光肌、鲜妍新肌、水活能量、水嫩倍现、水能量、肌初赋活、至臻皙白、原液面貌等。本次营销主要以明星产品百雀羚帧颜修护礼盒、男士水能护肤套装为主。</w:t>
      </w:r>
    </w:p>
    <w:p w14:paraId="7FD2A6A9">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产品一：帧颜淡纹修护精华霜</w:t>
      </w:r>
    </w:p>
    <w:p w14:paraId="666C7880">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百雀羚帧颜淡纹修护系列是百雀羚「科技新草本」战略升级的代表作，而此款帧颜淡纹修护精华霜是百雀羚帧颜淡纹修护系列的一款明星产品，是百雀羚携手德国默克研制的第一款针对东方女性肌肤衰老的面霜。</w:t>
      </w:r>
    </w:p>
    <w:p w14:paraId="30A8ABEB">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226820" cy="1226820"/>
            <wp:effectExtent l="0" t="0" r="7620" b="7620"/>
            <wp:docPr id="18" name="图片 18" descr="女士淡纹修护眼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女士淡纹修护眼霜"/>
                    <pic:cNvPicPr>
                      <a:picLocks noChangeAspect="1"/>
                    </pic:cNvPicPr>
                  </pic:nvPicPr>
                  <pic:blipFill>
                    <a:blip r:embed="rId15"/>
                    <a:stretch>
                      <a:fillRect/>
                    </a:stretch>
                  </pic:blipFill>
                  <pic:spPr>
                    <a:xfrm>
                      <a:off x="0" y="0"/>
                      <a:ext cx="1226820" cy="1226820"/>
                    </a:xfrm>
                    <a:prstGeom prst="rect">
                      <a:avLst/>
                    </a:prstGeom>
                  </pic:spPr>
                </pic:pic>
              </a:graphicData>
            </a:graphic>
          </wp:inline>
        </w:drawing>
      </w:r>
    </w:p>
    <w:p w14:paraId="10139358">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在百雀羚帧颜霜的配方中，含有4.8%的精纯视黄醇、90%高纯人参多肽、4倍浓缩积雪草精粹等多重有效成分，不但可以补充胶原蛋白、饱满肌底，还可以帮助肌肤抹平细纹，提高肌肤自我修复能力。</w:t>
      </w:r>
    </w:p>
    <w:p w14:paraId="55372BC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外，帧颜霜的核心成分为百雀羚独家高科技萃取植物精粹ProVTA原初因。这一黑科技成分只有毛孔的千分之一大小，可以轻松地钻进毛孔通道，渗透入皮肤。在渗透过程中，ProVTA的脂质体包裹技术还能起到一个很好的保护外衣作用，可以精准地让ProVTA渗透到真皮层再有效地释放出抗初老活性成分，有效帮助淡化可见纹、隐褪潜在纹。</w:t>
      </w:r>
    </w:p>
    <w:p w14:paraId="430F7EA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功效：从「外淡纹」+「内修护」出发，以「视黄醇」和百雀羚独家黑科技成分「ProVTA™原初因」为核心成分，一个淡化已上脸的细纹，一个从真皮层修护肌肤&amp;延缓肌肤老化，内外兼修帮助对抗细纹；积雪草提取物、人参根提取物、透明质酸钠等成分，加强修护及抗初老能力。轻盈的冰淇淋质地，有一定的保湿力度，清爽不黏腻。对偏油皮很友好，干皮可视情况叠加其他产品</w:t>
      </w:r>
    </w:p>
    <w:p w14:paraId="653B299F">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50g装市场价358元，25g装市场价199元。单个产品的促销活动价格不能低于8折，两个规格产品搭配销售价格也不能低于7.5折。</w:t>
      </w:r>
    </w:p>
    <w:p w14:paraId="1358C566">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产品二：百雀羚男士水能套装</w:t>
      </w:r>
    </w:p>
    <w:p w14:paraId="39422D67">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百雀羚此款男士水能套装内含男士水能保湿黑炭抗黑头洁面膏（100g）、男士水能保湿强润能量水（100ml）、男士水能保湿强润高保湿乳（100ml）三款产品。</w:t>
      </w:r>
    </w:p>
    <w:p w14:paraId="239B27BA">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661795" cy="1782445"/>
            <wp:effectExtent l="0" t="0" r="14605" b="6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6"/>
                    <a:stretch>
                      <a:fillRect/>
                    </a:stretch>
                  </pic:blipFill>
                  <pic:spPr>
                    <a:xfrm>
                      <a:off x="0" y="0"/>
                      <a:ext cx="1661795" cy="1782445"/>
                    </a:xfrm>
                    <a:prstGeom prst="rect">
                      <a:avLst/>
                    </a:prstGeom>
                    <a:noFill/>
                    <a:ln>
                      <a:noFill/>
                    </a:ln>
                  </pic:spPr>
                </pic:pic>
              </a:graphicData>
            </a:graphic>
          </wp:inline>
        </w:drawing>
      </w:r>
    </w:p>
    <w:p w14:paraId="012840E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功效：保湿、舒缓、清爽。洁面膏富含活性黑炭，以黑吸黑，能有效吸附堵塞毛孔的污垢和黑头，深层磁力清洁，洗后清爽不紧绷；能量水富含烟酰胺，能够强效锁水保湿，舒缓剃须后肌肤不适，澎湃补水不黏腻；精华乳富含芦荟，沁润易吸收，减缓水分流失，形成锁水屏障，保持肌肤澎弹润泽。</w:t>
      </w:r>
    </w:p>
    <w:p w14:paraId="72EEC051">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适合肤质：油性肌肤、干性肌肤、混合性肌肤</w:t>
      </w:r>
    </w:p>
    <w:p w14:paraId="4A8A57E5">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主要成分：金钗石斛、苦参根、芦荟叶</w:t>
      </w:r>
    </w:p>
    <w:p w14:paraId="45A0320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产品细节：按压头设计，使用方便，取量可控，避免双手直接接触造成的污染；深蓝色瓶身，设计低调稳重。</w:t>
      </w:r>
    </w:p>
    <w:p w14:paraId="337D0F7A">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款百雀羚男士水能套装市场价306元，单支水能保湿黑炭抗黑头洁面膏市场价93元，单瓶男士水能强润高保湿乳市场价170元，单瓶男士水能强润能量水市场价156元。百雀羚男士水能套装活动价格不允许低于市场价的9折。</w:t>
      </w:r>
    </w:p>
    <w:p w14:paraId="575E67A4">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赠品一：百雀羚帧颜淡纹修护眼膜</w:t>
      </w:r>
    </w:p>
    <w:p w14:paraId="3952619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此款百雀羚帧颜淡纹修护眼膜主要成分是积雪草、精纯人参多肽、视黄醇等。能深入修护肌底、淡退眼周细纹、沁润眼周，赋活肌底韧性，肌肤紧致饱满，更显年轻。适合所有肤质。</w:t>
      </w:r>
    </w:p>
    <w:p w14:paraId="23E83C4E">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市场价2片装/袋，1袋38元，每片19元。购买金额每满500元，允许赠送1片。</w:t>
      </w:r>
    </w:p>
    <w:p w14:paraId="42915171">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564005" cy="1701165"/>
            <wp:effectExtent l="0" t="0" r="5715" b="571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7"/>
                    <a:stretch>
                      <a:fillRect/>
                    </a:stretch>
                  </pic:blipFill>
                  <pic:spPr>
                    <a:xfrm>
                      <a:off x="0" y="0"/>
                      <a:ext cx="1564005" cy="1701165"/>
                    </a:xfrm>
                    <a:prstGeom prst="rect">
                      <a:avLst/>
                    </a:prstGeom>
                    <a:noFill/>
                    <a:ln>
                      <a:noFill/>
                    </a:ln>
                  </pic:spPr>
                </pic:pic>
              </a:graphicData>
            </a:graphic>
          </wp:inline>
        </w:drawing>
      </w:r>
    </w:p>
    <w:p w14:paraId="2A7D7A4D">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赠品二：男士控油保湿黑精华面膜</w:t>
      </w:r>
    </w:p>
    <w:p w14:paraId="1D9CA52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此款男士控油保湿黑精华面膜主要功效是控油平衡、补水保湿、细致毛孔，舒缓修护。多微孔结构备长炭膜布能深层净化毛孔，吸附多余油脂。高纯透明质酸钠和银耳子实体提取物能有效补水保湿。高纯维生素原B5积雪草提取物能有效舒缓肌肤不适，双重酵母茶叶提取物能很好地维持水油平衡。</w:t>
      </w:r>
    </w:p>
    <w:p w14:paraId="7F3CEF52">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市场价每片19.9元，购买金额每满400元，允许赠送1片。</w:t>
      </w:r>
    </w:p>
    <w:p w14:paraId="79C37B9A">
      <w:pPr>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835150" cy="1974215"/>
            <wp:effectExtent l="0" t="0" r="8890" b="698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8"/>
                    <a:stretch>
                      <a:fillRect/>
                    </a:stretch>
                  </pic:blipFill>
                  <pic:spPr>
                    <a:xfrm>
                      <a:off x="0" y="0"/>
                      <a:ext cx="1835150" cy="1974215"/>
                    </a:xfrm>
                    <a:prstGeom prst="rect">
                      <a:avLst/>
                    </a:prstGeom>
                    <a:noFill/>
                    <a:ln>
                      <a:noFill/>
                    </a:ln>
                  </pic:spPr>
                </pic:pic>
              </a:graphicData>
            </a:graphic>
          </wp:inline>
        </w:drawing>
      </w:r>
    </w:p>
    <w:p w14:paraId="089408D3">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（2）考核要求</w:t>
      </w:r>
    </w:p>
    <w:p w14:paraId="2B9E4609">
      <w:pPr>
        <w:spacing w:line="360" w:lineRule="auto"/>
        <w:ind w:firstLine="560" w:firstLineChars="200"/>
        <w:rPr>
          <w:rFonts w:ascii="仿宋_GB2312" w:hAnsi="仿宋_GB2312" w:eastAsia="仿宋_GB2312" w:cs="仿宋_GB2312"/>
        </w:rPr>
      </w:pPr>
      <w:r>
        <w:rPr>
          <w:rFonts w:hint="eastAsia" w:ascii="仿宋_GB2312" w:hAnsi="仿宋_GB2312" w:eastAsia="仿宋_GB2312" w:cs="仿宋_GB2312"/>
          <w:sz w:val="28"/>
          <w:szCs w:val="28"/>
        </w:rPr>
        <w:t>上海百雀羚日用化学有限公司市场部根据前期市场和客户数据调研发现帧颜淡纹修护精华霜这款产品市场需求不断上升。消费者对此款产品质量的评价反馈良好，但普遍反映价格偏高。由于价格原因放弃购买，选择其他品牌作为替代品的消费者人数不断攀升。针对此种现状，市场部决定借“618节日”的营销氛围，进行一次线上线下相结合的促销活动，提高品牌的认知度和忠诚度，促进产品的销售和市场占有率的提升。并根据营销活动的具体活动内容，面向目标受众，借助新媒体文案编辑工具，制作一篇图文并茂的新媒体宣传文案。</w:t>
      </w:r>
    </w:p>
    <w:p w14:paraId="6FA70F40">
      <w:pPr>
        <w:pStyle w:val="2"/>
        <w:rPr>
          <w:b w:val="0"/>
          <w:bCs/>
        </w:rPr>
      </w:pPr>
      <w:r>
        <w:rPr>
          <w:rFonts w:hint="eastAsia"/>
          <w:b w:val="0"/>
          <w:bCs/>
        </w:rPr>
        <w:t>九、成绩评定</w:t>
      </w:r>
    </w:p>
    <w:p w14:paraId="28EF56B0">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（一）评分标准</w:t>
      </w:r>
    </w:p>
    <w:p w14:paraId="1BA75CD8">
      <w:pPr>
        <w:pStyle w:val="6"/>
        <w:ind w:left="0" w:firstLine="480" w:firstLineChars="200"/>
        <w:jc w:val="center"/>
        <w:rPr>
          <w:rFonts w:ascii="黑体" w:hAnsi="黑体" w:eastAsia="黑体" w:cs="黑体"/>
          <w:kern w:val="2"/>
          <w:sz w:val="24"/>
          <w:szCs w:val="24"/>
        </w:rPr>
      </w:pPr>
      <w:r>
        <w:rPr>
          <w:rFonts w:hint="eastAsia" w:ascii="黑体" w:hAnsi="黑体" w:eastAsia="黑体" w:cs="黑体"/>
          <w:kern w:val="2"/>
          <w:sz w:val="24"/>
          <w:szCs w:val="24"/>
        </w:rPr>
        <w:t>表 评分标准</w:t>
      </w:r>
    </w:p>
    <w:tbl>
      <w:tblPr>
        <w:tblStyle w:val="13"/>
        <w:tblW w:w="57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2"/>
        <w:gridCol w:w="1334"/>
        <w:gridCol w:w="596"/>
        <w:gridCol w:w="1039"/>
        <w:gridCol w:w="4566"/>
        <w:gridCol w:w="907"/>
        <w:gridCol w:w="865"/>
      </w:tblGrid>
      <w:tr w14:paraId="06675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1826"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6E4DC50A">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模块</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14:paraId="069AC6D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评分内容</w:t>
            </w:r>
          </w:p>
        </w:tc>
        <w:tc>
          <w:tcPr>
            <w:tcW w:w="4566"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14E37353">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评分细则</w:t>
            </w:r>
          </w:p>
        </w:tc>
        <w:tc>
          <w:tcPr>
            <w:tcW w:w="907"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604F118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w:t>
            </w:r>
          </w:p>
        </w:tc>
        <w:tc>
          <w:tcPr>
            <w:tcW w:w="86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2C29BD6E">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评分方式</w:t>
            </w:r>
          </w:p>
        </w:tc>
      </w:tr>
      <w:tr w14:paraId="38EF3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tcBorders>
              <w:top w:val="single" w:color="000000" w:sz="4" w:space="0"/>
              <w:left w:val="single" w:color="000000" w:sz="4" w:space="0"/>
              <w:right w:val="single" w:color="000000" w:sz="4" w:space="0"/>
            </w:tcBorders>
            <w:vAlign w:val="center"/>
          </w:tcPr>
          <w:p w14:paraId="706F4610">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数字营销推广</w:t>
            </w:r>
          </w:p>
        </w:tc>
        <w:tc>
          <w:tcPr>
            <w:tcW w:w="6201" w:type="dxa"/>
            <w:gridSpan w:val="3"/>
            <w:tcBorders>
              <w:top w:val="single" w:color="000000" w:sz="4" w:space="0"/>
              <w:left w:val="single" w:color="000000" w:sz="4" w:space="0"/>
              <w:right w:val="single" w:color="000000" w:sz="4" w:space="0"/>
            </w:tcBorders>
            <w:vAlign w:val="center"/>
          </w:tcPr>
          <w:p w14:paraId="63F37E87">
            <w:pPr>
              <w:spacing w:line="360" w:lineRule="auto"/>
              <w:jc w:val="both"/>
              <w:rPr>
                <w:rFonts w:ascii="仿宋_GB2312" w:hAnsi="仿宋_GB2312" w:eastAsia="仿宋_GB2312" w:cs="仿宋_GB2312"/>
                <w:sz w:val="24"/>
              </w:rPr>
            </w:pPr>
            <w:r>
              <w:rPr>
                <w:rFonts w:hint="eastAsia" w:ascii="仿宋_GB2312" w:hAnsi="仿宋_GB2312" w:eastAsia="仿宋_GB2312" w:cs="仿宋_GB2312"/>
                <w:sz w:val="24"/>
              </w:rPr>
              <w:t>通过展现量、点击量和点击率反馈选手的图文、短视频推广的效果。展现量满分6分、点击量满分14分、点击率满分10分，每项效果最好的选手获得该项成绩的满分，其余选手以与该项第一名的比值作为权重进行加权计算，总分为三项成绩之和。</w:t>
            </w:r>
          </w:p>
          <w:p w14:paraId="5C979498">
            <w:pPr>
              <w:spacing w:line="360" w:lineRule="auto"/>
              <w:jc w:val="both"/>
              <w:rPr>
                <w:rFonts w:ascii="仿宋_GB2312" w:hAnsi="仿宋_GB2312" w:eastAsia="仿宋_GB2312" w:cs="仿宋_GB2312"/>
                <w:sz w:val="24"/>
              </w:rPr>
            </w:pPr>
            <w:r>
              <w:rPr>
                <w:rFonts w:hint="eastAsia" w:ascii="仿宋_GB2312" w:hAnsi="仿宋_GB2312" w:eastAsia="仿宋_GB2312" w:cs="仿宋_GB2312"/>
                <w:sz w:val="24"/>
              </w:rPr>
              <w:t>具体计算为：</w:t>
            </w:r>
          </w:p>
          <w:p w14:paraId="3CB99732">
            <w:pPr>
              <w:spacing w:line="360" w:lineRule="auto"/>
              <w:jc w:val="both"/>
              <w:rPr>
                <w:rFonts w:ascii="仿宋_GB2312" w:hAnsi="仿宋_GB2312" w:eastAsia="仿宋_GB2312" w:cs="仿宋_GB2312"/>
                <w:sz w:val="24"/>
              </w:rPr>
            </w:pPr>
            <w:r>
              <w:rPr>
                <w:rFonts w:hint="eastAsia" w:ascii="仿宋_GB2312" w:hAnsi="仿宋_GB2312" w:eastAsia="仿宋_GB2312" w:cs="仿宋_GB2312"/>
                <w:sz w:val="24"/>
              </w:rPr>
              <w:t>展现量的第一名的团队展现量得分6分，点击量的第一名团队点击得分14分，点击率的第一名团队点击率得分10分，其余名次参赛团队的展现量成绩=6分*本选手展现量/展现量第一名团队的展现量，点击量成绩=14分*本选手点击量/点击量第一名团队的点击量，点击率成绩=10分*本选手点击率/点击率第一名团队的点击率。各选手最终成绩=展现量成绩+点击量成绩+点击率成绩。</w:t>
            </w:r>
          </w:p>
        </w:tc>
        <w:tc>
          <w:tcPr>
            <w:tcW w:w="907" w:type="dxa"/>
            <w:tcBorders>
              <w:top w:val="single" w:color="000000" w:sz="4" w:space="0"/>
              <w:left w:val="single" w:color="000000" w:sz="4" w:space="0"/>
              <w:right w:val="single" w:color="000000" w:sz="4" w:space="0"/>
            </w:tcBorders>
            <w:vAlign w:val="center"/>
          </w:tcPr>
          <w:p w14:paraId="3A0DA26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30分</w:t>
            </w:r>
          </w:p>
        </w:tc>
        <w:tc>
          <w:tcPr>
            <w:tcW w:w="865" w:type="dxa"/>
            <w:tcBorders>
              <w:top w:val="single" w:color="000000" w:sz="4" w:space="0"/>
              <w:left w:val="single" w:color="000000" w:sz="4" w:space="0"/>
              <w:right w:val="single" w:color="000000" w:sz="4" w:space="0"/>
            </w:tcBorders>
            <w:vAlign w:val="center"/>
          </w:tcPr>
          <w:p w14:paraId="379A6B8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17E8E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restart"/>
            <w:tcBorders>
              <w:left w:val="single" w:color="000000" w:sz="4" w:space="0"/>
              <w:right w:val="single" w:color="000000" w:sz="4" w:space="0"/>
            </w:tcBorders>
            <w:vAlign w:val="center"/>
          </w:tcPr>
          <w:p w14:paraId="53798791">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直播营销</w:t>
            </w:r>
          </w:p>
        </w:tc>
        <w:tc>
          <w:tcPr>
            <w:tcW w:w="1334" w:type="dxa"/>
            <w:tcBorders>
              <w:left w:val="single" w:color="000000" w:sz="4" w:space="0"/>
              <w:right w:val="single" w:color="000000" w:sz="4" w:space="0"/>
            </w:tcBorders>
            <w:vAlign w:val="center"/>
          </w:tcPr>
          <w:p w14:paraId="5765E422">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市场信息分析</w:t>
            </w:r>
          </w:p>
        </w:tc>
        <w:tc>
          <w:tcPr>
            <w:tcW w:w="6201" w:type="dxa"/>
            <w:gridSpan w:val="3"/>
            <w:tcBorders>
              <w:left w:val="single" w:color="000000" w:sz="4" w:space="0"/>
              <w:right w:val="single" w:color="000000" w:sz="4" w:space="0"/>
            </w:tcBorders>
            <w:vAlign w:val="center"/>
          </w:tcPr>
          <w:p w14:paraId="4898DF3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所选的商品达到5款；5款商品的角色定位符合要求，且包含引流款、利润款、形象款，商品定位数量比例合理。</w:t>
            </w:r>
          </w:p>
        </w:tc>
        <w:tc>
          <w:tcPr>
            <w:tcW w:w="907" w:type="dxa"/>
            <w:tcBorders>
              <w:left w:val="single" w:color="000000" w:sz="4" w:space="0"/>
              <w:right w:val="single" w:color="000000" w:sz="4" w:space="0"/>
            </w:tcBorders>
            <w:vAlign w:val="center"/>
          </w:tcPr>
          <w:p w14:paraId="53EF9C4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529C814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00F8F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16EAFE6A">
            <w:pPr>
              <w:spacing w:line="360" w:lineRule="auto"/>
              <w:jc w:val="left"/>
              <w:rPr>
                <w:rFonts w:ascii="仿宋_GB2312" w:hAnsi="仿宋_GB2312" w:eastAsia="仿宋_GB2312" w:cs="仿宋_GB2312"/>
                <w:b/>
                <w:bCs/>
                <w:sz w:val="24"/>
              </w:rPr>
            </w:pPr>
          </w:p>
        </w:tc>
        <w:tc>
          <w:tcPr>
            <w:tcW w:w="1334" w:type="dxa"/>
            <w:vMerge w:val="restart"/>
            <w:tcBorders>
              <w:left w:val="single" w:color="000000" w:sz="4" w:space="0"/>
              <w:right w:val="single" w:color="000000" w:sz="4" w:space="0"/>
            </w:tcBorders>
            <w:vAlign w:val="center"/>
          </w:tcPr>
          <w:p w14:paraId="1A19BDAB">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直播规划</w:t>
            </w:r>
          </w:p>
        </w:tc>
        <w:tc>
          <w:tcPr>
            <w:tcW w:w="1635" w:type="dxa"/>
            <w:gridSpan w:val="2"/>
            <w:tcBorders>
              <w:left w:val="single" w:color="000000" w:sz="4" w:space="0"/>
              <w:right w:val="single" w:color="000000" w:sz="4" w:space="0"/>
            </w:tcBorders>
            <w:vAlign w:val="center"/>
          </w:tcPr>
          <w:p w14:paraId="6296343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主题策划</w:t>
            </w:r>
          </w:p>
        </w:tc>
        <w:tc>
          <w:tcPr>
            <w:tcW w:w="4566" w:type="dxa"/>
            <w:tcBorders>
              <w:left w:val="single" w:color="000000" w:sz="4" w:space="0"/>
              <w:right w:val="single" w:color="000000" w:sz="4" w:space="0"/>
            </w:tcBorders>
            <w:vAlign w:val="center"/>
          </w:tcPr>
          <w:p w14:paraId="6021D27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主题类型、直播主题设计、直播时间策划需符合背景要求。</w:t>
            </w:r>
          </w:p>
        </w:tc>
        <w:tc>
          <w:tcPr>
            <w:tcW w:w="907" w:type="dxa"/>
            <w:tcBorders>
              <w:left w:val="single" w:color="000000" w:sz="4" w:space="0"/>
              <w:right w:val="single" w:color="000000" w:sz="4" w:space="0"/>
            </w:tcBorders>
            <w:vAlign w:val="center"/>
          </w:tcPr>
          <w:p w14:paraId="5C5A838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4AFC0E0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2FD00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C63205C">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26079E6E">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5021B25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互动策划</w:t>
            </w:r>
          </w:p>
        </w:tc>
        <w:tc>
          <w:tcPr>
            <w:tcW w:w="4566" w:type="dxa"/>
            <w:tcBorders>
              <w:left w:val="single" w:color="000000" w:sz="4" w:space="0"/>
              <w:right w:val="single" w:color="000000" w:sz="4" w:space="0"/>
            </w:tcBorders>
            <w:vAlign w:val="center"/>
          </w:tcPr>
          <w:p w14:paraId="1E5E59E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直播开场、商品促销及直播收尾至少各包含一个互动，至少包含3种促销形式。</w:t>
            </w:r>
          </w:p>
        </w:tc>
        <w:tc>
          <w:tcPr>
            <w:tcW w:w="907" w:type="dxa"/>
            <w:tcBorders>
              <w:left w:val="single" w:color="000000" w:sz="4" w:space="0"/>
              <w:right w:val="single" w:color="000000" w:sz="4" w:space="0"/>
            </w:tcBorders>
            <w:vAlign w:val="center"/>
          </w:tcPr>
          <w:p w14:paraId="63127A0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0.6分</w:t>
            </w:r>
          </w:p>
        </w:tc>
        <w:tc>
          <w:tcPr>
            <w:tcW w:w="865" w:type="dxa"/>
            <w:tcBorders>
              <w:left w:val="single" w:color="000000" w:sz="4" w:space="0"/>
              <w:right w:val="single" w:color="000000" w:sz="4" w:space="0"/>
            </w:tcBorders>
            <w:vAlign w:val="center"/>
          </w:tcPr>
          <w:p w14:paraId="7C25849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6535D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5549302E">
            <w:pPr>
              <w:spacing w:line="360" w:lineRule="auto"/>
              <w:jc w:val="left"/>
              <w:rPr>
                <w:rFonts w:ascii="仿宋_GB2312" w:hAnsi="仿宋_GB2312" w:eastAsia="仿宋_GB2312" w:cs="仿宋_GB2312"/>
                <w:b/>
                <w:bCs/>
                <w:sz w:val="24"/>
              </w:rPr>
            </w:pPr>
          </w:p>
        </w:tc>
        <w:tc>
          <w:tcPr>
            <w:tcW w:w="1334" w:type="dxa"/>
            <w:vMerge w:val="restart"/>
            <w:tcBorders>
              <w:left w:val="single" w:color="000000" w:sz="4" w:space="0"/>
              <w:right w:val="single" w:color="000000" w:sz="4" w:space="0"/>
            </w:tcBorders>
            <w:vAlign w:val="center"/>
          </w:tcPr>
          <w:p w14:paraId="6ED82AE6">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脚本策划</w:t>
            </w:r>
          </w:p>
        </w:tc>
        <w:tc>
          <w:tcPr>
            <w:tcW w:w="1635" w:type="dxa"/>
            <w:gridSpan w:val="2"/>
            <w:tcBorders>
              <w:left w:val="single" w:color="000000" w:sz="4" w:space="0"/>
              <w:right w:val="single" w:color="000000" w:sz="4" w:space="0"/>
            </w:tcBorders>
            <w:vAlign w:val="center"/>
          </w:tcPr>
          <w:p w14:paraId="5225159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整场直播脚本策划</w:t>
            </w:r>
          </w:p>
        </w:tc>
        <w:tc>
          <w:tcPr>
            <w:tcW w:w="4566" w:type="dxa"/>
            <w:tcBorders>
              <w:left w:val="single" w:color="000000" w:sz="4" w:space="0"/>
              <w:right w:val="single" w:color="000000" w:sz="4" w:space="0"/>
            </w:tcBorders>
            <w:vAlign w:val="center"/>
          </w:tcPr>
          <w:p w14:paraId="5230E97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整场直播脚本必须包含直播开场、商品介绍、直播收尾、直播互动环节，脚本内容撰写详细、逻辑清晰、有创意且符合背景资料。</w:t>
            </w:r>
          </w:p>
        </w:tc>
        <w:tc>
          <w:tcPr>
            <w:tcW w:w="907" w:type="dxa"/>
            <w:tcBorders>
              <w:left w:val="single" w:color="000000" w:sz="4" w:space="0"/>
              <w:right w:val="single" w:color="000000" w:sz="4" w:space="0"/>
            </w:tcBorders>
            <w:vAlign w:val="center"/>
          </w:tcPr>
          <w:p w14:paraId="77B176E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2分</w:t>
            </w:r>
          </w:p>
        </w:tc>
        <w:tc>
          <w:tcPr>
            <w:tcW w:w="865" w:type="dxa"/>
            <w:tcBorders>
              <w:left w:val="single" w:color="000000" w:sz="4" w:space="0"/>
              <w:right w:val="single" w:color="000000" w:sz="4" w:space="0"/>
            </w:tcBorders>
            <w:vAlign w:val="center"/>
          </w:tcPr>
          <w:p w14:paraId="06F58E2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0D101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79E71500">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47312C65">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5F183EB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单品直播脚本策划</w:t>
            </w:r>
          </w:p>
        </w:tc>
        <w:tc>
          <w:tcPr>
            <w:tcW w:w="4566" w:type="dxa"/>
            <w:tcBorders>
              <w:left w:val="single" w:color="000000" w:sz="4" w:space="0"/>
              <w:right w:val="single" w:color="000000" w:sz="4" w:space="0"/>
            </w:tcBorders>
            <w:vAlign w:val="center"/>
          </w:tcPr>
          <w:p w14:paraId="1446524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单品脚本内容包括还原场景介绍、抬高需求、展示卖点、灌输理念、促进成交等部分。</w:t>
            </w:r>
          </w:p>
        </w:tc>
        <w:tc>
          <w:tcPr>
            <w:tcW w:w="907" w:type="dxa"/>
            <w:tcBorders>
              <w:left w:val="single" w:color="000000" w:sz="4" w:space="0"/>
              <w:right w:val="single" w:color="000000" w:sz="4" w:space="0"/>
            </w:tcBorders>
            <w:vAlign w:val="center"/>
          </w:tcPr>
          <w:p w14:paraId="17744FA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2.4分</w:t>
            </w:r>
          </w:p>
        </w:tc>
        <w:tc>
          <w:tcPr>
            <w:tcW w:w="865" w:type="dxa"/>
            <w:tcBorders>
              <w:left w:val="single" w:color="000000" w:sz="4" w:space="0"/>
              <w:right w:val="single" w:color="000000" w:sz="4" w:space="0"/>
            </w:tcBorders>
            <w:vAlign w:val="center"/>
          </w:tcPr>
          <w:p w14:paraId="506FFE8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1F311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67DD2C1">
            <w:pPr>
              <w:spacing w:line="360" w:lineRule="auto"/>
              <w:jc w:val="left"/>
              <w:rPr>
                <w:rFonts w:ascii="仿宋_GB2312" w:hAnsi="仿宋_GB2312" w:eastAsia="仿宋_GB2312" w:cs="仿宋_GB2312"/>
                <w:b/>
                <w:bCs/>
                <w:sz w:val="24"/>
              </w:rPr>
            </w:pPr>
          </w:p>
        </w:tc>
        <w:tc>
          <w:tcPr>
            <w:tcW w:w="1334" w:type="dxa"/>
            <w:tcBorders>
              <w:left w:val="single" w:color="000000" w:sz="4" w:space="0"/>
              <w:right w:val="single" w:color="000000" w:sz="4" w:space="0"/>
            </w:tcBorders>
            <w:vAlign w:val="center"/>
          </w:tcPr>
          <w:p w14:paraId="71EB7CC6">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直播创建</w:t>
            </w:r>
          </w:p>
        </w:tc>
        <w:tc>
          <w:tcPr>
            <w:tcW w:w="6201" w:type="dxa"/>
            <w:gridSpan w:val="3"/>
            <w:tcBorders>
              <w:left w:val="single" w:color="000000" w:sz="4" w:space="0"/>
              <w:right w:val="single" w:color="000000" w:sz="4" w:space="0"/>
            </w:tcBorders>
            <w:vAlign w:val="center"/>
          </w:tcPr>
          <w:p w14:paraId="3175FCF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根据直播策划内容，创建直播，设置直播间名称、封面、简介、直播时间、频道栏目。</w:t>
            </w:r>
          </w:p>
        </w:tc>
        <w:tc>
          <w:tcPr>
            <w:tcW w:w="907" w:type="dxa"/>
            <w:tcBorders>
              <w:left w:val="single" w:color="000000" w:sz="4" w:space="0"/>
              <w:right w:val="single" w:color="000000" w:sz="4" w:space="0"/>
            </w:tcBorders>
            <w:vAlign w:val="center"/>
          </w:tcPr>
          <w:p w14:paraId="064A725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18B80DC5">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2B0CE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31DB3EB1">
            <w:pPr>
              <w:spacing w:line="360" w:lineRule="auto"/>
              <w:jc w:val="left"/>
              <w:rPr>
                <w:rFonts w:ascii="仿宋_GB2312" w:hAnsi="仿宋_GB2312" w:eastAsia="仿宋_GB2312" w:cs="仿宋_GB2312"/>
                <w:b/>
                <w:bCs/>
                <w:sz w:val="24"/>
              </w:rPr>
            </w:pPr>
          </w:p>
        </w:tc>
        <w:tc>
          <w:tcPr>
            <w:tcW w:w="1334" w:type="dxa"/>
            <w:vMerge w:val="restart"/>
            <w:tcBorders>
              <w:left w:val="single" w:color="000000" w:sz="4" w:space="0"/>
              <w:right w:val="single" w:color="000000" w:sz="4" w:space="0"/>
            </w:tcBorders>
            <w:vAlign w:val="center"/>
          </w:tcPr>
          <w:p w14:paraId="0A779C71">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直播装修</w:t>
            </w:r>
          </w:p>
        </w:tc>
        <w:tc>
          <w:tcPr>
            <w:tcW w:w="1635" w:type="dxa"/>
            <w:gridSpan w:val="2"/>
            <w:tcBorders>
              <w:left w:val="single" w:color="000000" w:sz="4" w:space="0"/>
              <w:right w:val="single" w:color="000000" w:sz="4" w:space="0"/>
            </w:tcBorders>
            <w:vAlign w:val="center"/>
          </w:tcPr>
          <w:p w14:paraId="2B45CEC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欢迎语设置</w:t>
            </w:r>
          </w:p>
        </w:tc>
        <w:tc>
          <w:tcPr>
            <w:tcW w:w="4566" w:type="dxa"/>
            <w:tcBorders>
              <w:left w:val="single" w:color="000000" w:sz="4" w:space="0"/>
              <w:right w:val="single" w:color="000000" w:sz="4" w:space="0"/>
            </w:tcBorders>
            <w:vAlign w:val="center"/>
          </w:tcPr>
          <w:p w14:paraId="4881D09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欢迎语设置正确。</w:t>
            </w:r>
          </w:p>
        </w:tc>
        <w:tc>
          <w:tcPr>
            <w:tcW w:w="907" w:type="dxa"/>
            <w:vMerge w:val="restart"/>
            <w:tcBorders>
              <w:left w:val="single" w:color="000000" w:sz="4" w:space="0"/>
              <w:right w:val="single" w:color="000000" w:sz="4" w:space="0"/>
            </w:tcBorders>
            <w:vAlign w:val="center"/>
          </w:tcPr>
          <w:p w14:paraId="00FEC99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vMerge w:val="restart"/>
            <w:tcBorders>
              <w:left w:val="single" w:color="000000" w:sz="4" w:space="0"/>
              <w:right w:val="single" w:color="000000" w:sz="4" w:space="0"/>
            </w:tcBorders>
            <w:vAlign w:val="center"/>
          </w:tcPr>
          <w:p w14:paraId="54C7926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1524F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70C4B1FA">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160C6F16">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7AF3C6D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屏蔽词设置</w:t>
            </w:r>
          </w:p>
        </w:tc>
        <w:tc>
          <w:tcPr>
            <w:tcW w:w="4566" w:type="dxa"/>
            <w:tcBorders>
              <w:left w:val="single" w:color="000000" w:sz="4" w:space="0"/>
              <w:right w:val="single" w:color="000000" w:sz="4" w:space="0"/>
            </w:tcBorders>
            <w:vAlign w:val="center"/>
          </w:tcPr>
          <w:p w14:paraId="67B8D6A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屏蔽词分类正确。</w:t>
            </w:r>
          </w:p>
        </w:tc>
        <w:tc>
          <w:tcPr>
            <w:tcW w:w="907" w:type="dxa"/>
            <w:vMerge w:val="continue"/>
            <w:tcBorders>
              <w:left w:val="single" w:color="000000" w:sz="4" w:space="0"/>
              <w:right w:val="single" w:color="000000" w:sz="4" w:space="0"/>
            </w:tcBorders>
            <w:vAlign w:val="center"/>
          </w:tcPr>
          <w:p w14:paraId="590C537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33F0B581">
            <w:pPr>
              <w:spacing w:line="360" w:lineRule="auto"/>
              <w:jc w:val="left"/>
              <w:rPr>
                <w:rFonts w:ascii="仿宋_GB2312" w:hAnsi="仿宋_GB2312" w:eastAsia="仿宋_GB2312" w:cs="仿宋_GB2312"/>
                <w:sz w:val="24"/>
              </w:rPr>
            </w:pPr>
          </w:p>
        </w:tc>
      </w:tr>
      <w:tr w14:paraId="68CCB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DE22DCB">
            <w:pPr>
              <w:spacing w:line="360" w:lineRule="auto"/>
              <w:jc w:val="left"/>
              <w:rPr>
                <w:rFonts w:ascii="仿宋_GB2312" w:hAnsi="仿宋_GB2312" w:eastAsia="仿宋_GB2312" w:cs="仿宋_GB2312"/>
                <w:b/>
                <w:bCs/>
                <w:sz w:val="24"/>
              </w:rPr>
            </w:pPr>
          </w:p>
        </w:tc>
        <w:tc>
          <w:tcPr>
            <w:tcW w:w="1334" w:type="dxa"/>
            <w:vMerge w:val="continue"/>
            <w:tcBorders>
              <w:left w:val="single" w:color="000000" w:sz="4" w:space="0"/>
              <w:right w:val="single" w:color="000000" w:sz="4" w:space="0"/>
            </w:tcBorders>
            <w:vAlign w:val="center"/>
          </w:tcPr>
          <w:p w14:paraId="161A4071">
            <w:pPr>
              <w:spacing w:line="360" w:lineRule="auto"/>
              <w:jc w:val="left"/>
              <w:rPr>
                <w:rFonts w:ascii="仿宋_GB2312" w:hAnsi="仿宋_GB2312" w:eastAsia="仿宋_GB2312" w:cs="仿宋_GB2312"/>
                <w:b/>
                <w:bCs/>
                <w:sz w:val="24"/>
              </w:rPr>
            </w:pPr>
          </w:p>
        </w:tc>
        <w:tc>
          <w:tcPr>
            <w:tcW w:w="1635" w:type="dxa"/>
            <w:gridSpan w:val="2"/>
            <w:tcBorders>
              <w:left w:val="single" w:color="000000" w:sz="4" w:space="0"/>
              <w:right w:val="single" w:color="000000" w:sz="4" w:space="0"/>
            </w:tcBorders>
            <w:vAlign w:val="center"/>
          </w:tcPr>
          <w:p w14:paraId="5AE9DCB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快捷短语设置</w:t>
            </w:r>
          </w:p>
        </w:tc>
        <w:tc>
          <w:tcPr>
            <w:tcW w:w="4566" w:type="dxa"/>
            <w:tcBorders>
              <w:left w:val="single" w:color="000000" w:sz="4" w:space="0"/>
              <w:right w:val="single" w:color="000000" w:sz="4" w:space="0"/>
            </w:tcBorders>
            <w:vAlign w:val="center"/>
          </w:tcPr>
          <w:p w14:paraId="2087674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快捷短语设置符合各层级粉丝的需求。</w:t>
            </w:r>
          </w:p>
        </w:tc>
        <w:tc>
          <w:tcPr>
            <w:tcW w:w="907" w:type="dxa"/>
            <w:vMerge w:val="continue"/>
            <w:tcBorders>
              <w:left w:val="single" w:color="000000" w:sz="4" w:space="0"/>
              <w:right w:val="single" w:color="000000" w:sz="4" w:space="0"/>
            </w:tcBorders>
            <w:vAlign w:val="center"/>
          </w:tcPr>
          <w:p w14:paraId="79DD7F58">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67BF6694">
            <w:pPr>
              <w:spacing w:line="360" w:lineRule="auto"/>
              <w:jc w:val="left"/>
              <w:rPr>
                <w:rFonts w:ascii="仿宋_GB2312" w:hAnsi="仿宋_GB2312" w:eastAsia="仿宋_GB2312" w:cs="仿宋_GB2312"/>
                <w:sz w:val="24"/>
              </w:rPr>
            </w:pPr>
          </w:p>
        </w:tc>
      </w:tr>
      <w:tr w14:paraId="4C4D7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08BF0515">
            <w:pPr>
              <w:spacing w:line="360" w:lineRule="auto"/>
              <w:jc w:val="left"/>
              <w:rPr>
                <w:rFonts w:ascii="仿宋_GB2312" w:hAnsi="仿宋_GB2312" w:eastAsia="仿宋_GB2312" w:cs="仿宋_GB2312"/>
                <w:b/>
                <w:bCs/>
                <w:sz w:val="24"/>
              </w:rPr>
            </w:pPr>
          </w:p>
        </w:tc>
        <w:tc>
          <w:tcPr>
            <w:tcW w:w="1334" w:type="dxa"/>
            <w:tcBorders>
              <w:left w:val="single" w:color="000000" w:sz="4" w:space="0"/>
              <w:right w:val="single" w:color="000000" w:sz="4" w:space="0"/>
            </w:tcBorders>
            <w:vAlign w:val="center"/>
          </w:tcPr>
          <w:p w14:paraId="576E3EFA">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直播总体效果</w:t>
            </w:r>
          </w:p>
        </w:tc>
        <w:tc>
          <w:tcPr>
            <w:tcW w:w="6201" w:type="dxa"/>
            <w:gridSpan w:val="3"/>
            <w:tcBorders>
              <w:left w:val="single" w:color="000000" w:sz="4" w:space="0"/>
              <w:right w:val="single" w:color="000000" w:sz="4" w:space="0"/>
            </w:tcBorders>
            <w:vAlign w:val="center"/>
          </w:tcPr>
          <w:p w14:paraId="3D54E47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根据选手设置的付费推广和免费推广项目以及制定的互动方案，系统会在用户直播结束后计算出得分。</w:t>
            </w:r>
          </w:p>
        </w:tc>
        <w:tc>
          <w:tcPr>
            <w:tcW w:w="907" w:type="dxa"/>
            <w:tcBorders>
              <w:left w:val="single" w:color="000000" w:sz="4" w:space="0"/>
              <w:right w:val="single" w:color="000000" w:sz="4" w:space="0"/>
            </w:tcBorders>
            <w:vAlign w:val="center"/>
          </w:tcPr>
          <w:p w14:paraId="2458EF5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8.8分</w:t>
            </w:r>
          </w:p>
        </w:tc>
        <w:tc>
          <w:tcPr>
            <w:tcW w:w="865" w:type="dxa"/>
            <w:tcBorders>
              <w:left w:val="single" w:color="000000" w:sz="4" w:space="0"/>
              <w:right w:val="single" w:color="000000" w:sz="4" w:space="0"/>
            </w:tcBorders>
            <w:vAlign w:val="center"/>
          </w:tcPr>
          <w:p w14:paraId="1E90188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59586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2" w:type="dxa"/>
            <w:vMerge w:val="continue"/>
            <w:tcBorders>
              <w:left w:val="single" w:color="000000" w:sz="4" w:space="0"/>
              <w:right w:val="single" w:color="000000" w:sz="4" w:space="0"/>
            </w:tcBorders>
            <w:vAlign w:val="center"/>
          </w:tcPr>
          <w:p w14:paraId="2600E845">
            <w:pPr>
              <w:spacing w:line="360" w:lineRule="auto"/>
              <w:jc w:val="left"/>
              <w:rPr>
                <w:rFonts w:ascii="仿宋_GB2312" w:hAnsi="仿宋_GB2312" w:eastAsia="仿宋_GB2312" w:cs="仿宋_GB2312"/>
                <w:b/>
                <w:bCs/>
                <w:sz w:val="24"/>
              </w:rPr>
            </w:pPr>
          </w:p>
        </w:tc>
        <w:tc>
          <w:tcPr>
            <w:tcW w:w="1334" w:type="dxa"/>
            <w:tcBorders>
              <w:left w:val="single" w:color="000000" w:sz="4" w:space="0"/>
              <w:right w:val="single" w:color="000000" w:sz="4" w:space="0"/>
            </w:tcBorders>
            <w:vAlign w:val="center"/>
          </w:tcPr>
          <w:p w14:paraId="56AFC6C3">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直播复盘</w:t>
            </w:r>
          </w:p>
        </w:tc>
        <w:tc>
          <w:tcPr>
            <w:tcW w:w="6201" w:type="dxa"/>
            <w:gridSpan w:val="3"/>
            <w:tcBorders>
              <w:left w:val="single" w:color="000000" w:sz="4" w:space="0"/>
              <w:right w:val="single" w:color="000000" w:sz="4" w:space="0"/>
            </w:tcBorders>
            <w:vAlign w:val="center"/>
          </w:tcPr>
          <w:p w14:paraId="358C3951">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根据直播数据大盘，完成观众的行为数据、商品数据等相关内容的统计分析，结果正确。</w:t>
            </w:r>
          </w:p>
        </w:tc>
        <w:tc>
          <w:tcPr>
            <w:tcW w:w="907" w:type="dxa"/>
            <w:tcBorders>
              <w:left w:val="single" w:color="000000" w:sz="4" w:space="0"/>
              <w:right w:val="single" w:color="000000" w:sz="4" w:space="0"/>
            </w:tcBorders>
            <w:vAlign w:val="center"/>
          </w:tcPr>
          <w:p w14:paraId="61B5A9B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1.8分</w:t>
            </w:r>
          </w:p>
        </w:tc>
        <w:tc>
          <w:tcPr>
            <w:tcW w:w="865" w:type="dxa"/>
            <w:tcBorders>
              <w:left w:val="single" w:color="000000" w:sz="4" w:space="0"/>
              <w:right w:val="single" w:color="000000" w:sz="4" w:space="0"/>
            </w:tcBorders>
            <w:vAlign w:val="center"/>
          </w:tcPr>
          <w:p w14:paraId="605F9E3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69AC4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restart"/>
            <w:tcBorders>
              <w:left w:val="single" w:color="000000" w:sz="4" w:space="0"/>
              <w:right w:val="single" w:color="000000" w:sz="4" w:space="0"/>
            </w:tcBorders>
            <w:vAlign w:val="center"/>
          </w:tcPr>
          <w:p w14:paraId="3C524331">
            <w:pPr>
              <w:spacing w:line="360" w:lineRule="auto"/>
              <w:jc w:val="left"/>
              <w:rPr>
                <w:rFonts w:ascii="仿宋_GB2312" w:hAnsi="仿宋_GB2312" w:eastAsia="仿宋_GB2312" w:cs="仿宋_GB2312"/>
                <w:b/>
                <w:bCs/>
                <w:sz w:val="24"/>
              </w:rPr>
            </w:pPr>
          </w:p>
        </w:tc>
        <w:tc>
          <w:tcPr>
            <w:tcW w:w="596" w:type="dxa"/>
            <w:vMerge w:val="restart"/>
            <w:tcBorders>
              <w:left w:val="single" w:color="000000" w:sz="4" w:space="0"/>
              <w:right w:val="single" w:color="000000" w:sz="4" w:space="0"/>
            </w:tcBorders>
            <w:vAlign w:val="center"/>
          </w:tcPr>
          <w:p w14:paraId="0AFB7187">
            <w:pPr>
              <w:spacing w:line="360" w:lineRule="auto"/>
              <w:jc w:val="left"/>
              <w:rPr>
                <w:rFonts w:ascii="仿宋_GB2312" w:hAnsi="仿宋_GB2312" w:eastAsia="仿宋_GB2312" w:cs="仿宋_GB2312"/>
                <w:b/>
                <w:bCs/>
                <w:sz w:val="24"/>
              </w:rPr>
            </w:pPr>
          </w:p>
          <w:p w14:paraId="5B5D11F9">
            <w:pPr>
              <w:spacing w:line="360" w:lineRule="auto"/>
              <w:jc w:val="left"/>
              <w:rPr>
                <w:rFonts w:ascii="仿宋_GB2312" w:hAnsi="仿宋_GB2312" w:eastAsia="仿宋_GB2312" w:cs="仿宋_GB2312"/>
                <w:b/>
                <w:bCs/>
                <w:sz w:val="24"/>
              </w:rPr>
            </w:pPr>
          </w:p>
          <w:p w14:paraId="3D40BC69">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直播策划</w:t>
            </w:r>
          </w:p>
        </w:tc>
        <w:tc>
          <w:tcPr>
            <w:tcW w:w="1039" w:type="dxa"/>
            <w:tcBorders>
              <w:left w:val="single" w:color="000000" w:sz="4" w:space="0"/>
              <w:right w:val="single" w:color="000000" w:sz="4" w:space="0"/>
            </w:tcBorders>
            <w:vAlign w:val="center"/>
          </w:tcPr>
          <w:p w14:paraId="5C235A2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商品主图</w:t>
            </w:r>
          </w:p>
        </w:tc>
        <w:tc>
          <w:tcPr>
            <w:tcW w:w="4566" w:type="dxa"/>
            <w:tcBorders>
              <w:left w:val="single" w:color="000000" w:sz="4" w:space="0"/>
              <w:right w:val="single" w:color="000000" w:sz="4" w:space="0"/>
            </w:tcBorders>
            <w:vAlign w:val="center"/>
          </w:tcPr>
          <w:p w14:paraId="4A98E514">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主图设置正确且达到5张，所选择图片内容正确且未变形、未模糊</w:t>
            </w:r>
          </w:p>
        </w:tc>
        <w:tc>
          <w:tcPr>
            <w:tcW w:w="907" w:type="dxa"/>
            <w:tcBorders>
              <w:left w:val="single" w:color="000000" w:sz="4" w:space="0"/>
              <w:right w:val="single" w:color="000000" w:sz="4" w:space="0"/>
            </w:tcBorders>
            <w:vAlign w:val="center"/>
          </w:tcPr>
          <w:p w14:paraId="6900FE1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52BAE27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711CD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F99FFAB">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0AB1D9C1">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32667D7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商品详情图</w:t>
            </w:r>
          </w:p>
        </w:tc>
        <w:tc>
          <w:tcPr>
            <w:tcW w:w="4566" w:type="dxa"/>
            <w:tcBorders>
              <w:left w:val="single" w:color="000000" w:sz="4" w:space="0"/>
              <w:right w:val="single" w:color="000000" w:sz="4" w:space="0"/>
            </w:tcBorders>
            <w:vAlign w:val="center"/>
          </w:tcPr>
          <w:p w14:paraId="2CC39101">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商品包含正确的商品属性图、商品特点图、商品整体图、商品特写图、配送说明图、售后说明图</w:t>
            </w:r>
          </w:p>
        </w:tc>
        <w:tc>
          <w:tcPr>
            <w:tcW w:w="907" w:type="dxa"/>
            <w:tcBorders>
              <w:left w:val="single" w:color="000000" w:sz="4" w:space="0"/>
              <w:right w:val="single" w:color="000000" w:sz="4" w:space="0"/>
            </w:tcBorders>
            <w:vAlign w:val="center"/>
          </w:tcPr>
          <w:p w14:paraId="2DB05A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tcBorders>
              <w:left w:val="single" w:color="000000" w:sz="4" w:space="0"/>
              <w:right w:val="single" w:color="000000" w:sz="4" w:space="0"/>
            </w:tcBorders>
            <w:vAlign w:val="center"/>
          </w:tcPr>
          <w:p w14:paraId="73EF9B5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42147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013C13CD">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3169FB8B">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11308FE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直播间商品链接</w:t>
            </w:r>
          </w:p>
        </w:tc>
        <w:tc>
          <w:tcPr>
            <w:tcW w:w="4566" w:type="dxa"/>
            <w:tcBorders>
              <w:left w:val="single" w:color="000000" w:sz="4" w:space="0"/>
              <w:right w:val="single" w:color="000000" w:sz="4" w:space="0"/>
            </w:tcBorders>
            <w:vAlign w:val="center"/>
          </w:tcPr>
          <w:p w14:paraId="36EEDE4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讲解的商品正确关联商品链接</w:t>
            </w:r>
          </w:p>
        </w:tc>
        <w:tc>
          <w:tcPr>
            <w:tcW w:w="907" w:type="dxa"/>
            <w:tcBorders>
              <w:left w:val="single" w:color="000000" w:sz="4" w:space="0"/>
              <w:right w:val="single" w:color="000000" w:sz="4" w:space="0"/>
            </w:tcBorders>
            <w:vAlign w:val="center"/>
          </w:tcPr>
          <w:p w14:paraId="3E21FA6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01D4424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39E08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2B685559">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9A1D6EF">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1047406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直播时长</w:t>
            </w:r>
          </w:p>
        </w:tc>
        <w:tc>
          <w:tcPr>
            <w:tcW w:w="4566" w:type="dxa"/>
            <w:tcBorders>
              <w:left w:val="single" w:color="000000" w:sz="4" w:space="0"/>
              <w:right w:val="single" w:color="000000" w:sz="4" w:space="0"/>
            </w:tcBorders>
            <w:vAlign w:val="center"/>
          </w:tcPr>
          <w:p w14:paraId="3AC8F99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直播时长达到10分钟</w:t>
            </w:r>
          </w:p>
        </w:tc>
        <w:tc>
          <w:tcPr>
            <w:tcW w:w="907" w:type="dxa"/>
            <w:tcBorders>
              <w:left w:val="single" w:color="000000" w:sz="4" w:space="0"/>
              <w:right w:val="single" w:color="000000" w:sz="4" w:space="0"/>
            </w:tcBorders>
            <w:vAlign w:val="center"/>
          </w:tcPr>
          <w:p w14:paraId="01CB61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1F10091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0F259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0BC2F56">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E390D42">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22F9D91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商品标题</w:t>
            </w:r>
          </w:p>
        </w:tc>
        <w:tc>
          <w:tcPr>
            <w:tcW w:w="4566" w:type="dxa"/>
            <w:tcBorders>
              <w:left w:val="single" w:color="000000" w:sz="4" w:space="0"/>
              <w:right w:val="single" w:color="000000" w:sz="4" w:space="0"/>
            </w:tcBorders>
            <w:vAlign w:val="center"/>
          </w:tcPr>
          <w:p w14:paraId="5D491BC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商品标题关键词符合背景资料介绍内容。</w:t>
            </w:r>
          </w:p>
        </w:tc>
        <w:tc>
          <w:tcPr>
            <w:tcW w:w="907" w:type="dxa"/>
            <w:tcBorders>
              <w:left w:val="single" w:color="000000" w:sz="4" w:space="0"/>
              <w:right w:val="single" w:color="000000" w:sz="4" w:space="0"/>
            </w:tcBorders>
            <w:vAlign w:val="center"/>
          </w:tcPr>
          <w:p w14:paraId="543BE31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0.4分</w:t>
            </w:r>
          </w:p>
        </w:tc>
        <w:tc>
          <w:tcPr>
            <w:tcW w:w="865" w:type="dxa"/>
            <w:tcBorders>
              <w:left w:val="single" w:color="000000" w:sz="4" w:space="0"/>
              <w:right w:val="single" w:color="000000" w:sz="4" w:space="0"/>
            </w:tcBorders>
            <w:vAlign w:val="center"/>
          </w:tcPr>
          <w:p w14:paraId="76CC696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机考评分</w:t>
            </w:r>
          </w:p>
        </w:tc>
      </w:tr>
      <w:tr w14:paraId="0F845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76F1196">
            <w:pPr>
              <w:spacing w:line="360" w:lineRule="auto"/>
              <w:jc w:val="left"/>
              <w:rPr>
                <w:rFonts w:ascii="仿宋_GB2312" w:hAnsi="仿宋_GB2312" w:eastAsia="仿宋_GB2312" w:cs="仿宋_GB2312"/>
                <w:b/>
                <w:bCs/>
                <w:sz w:val="24"/>
              </w:rPr>
            </w:pPr>
          </w:p>
        </w:tc>
        <w:tc>
          <w:tcPr>
            <w:tcW w:w="596" w:type="dxa"/>
            <w:vMerge w:val="restart"/>
            <w:tcBorders>
              <w:left w:val="single" w:color="000000" w:sz="4" w:space="0"/>
              <w:right w:val="single" w:color="000000" w:sz="4" w:space="0"/>
            </w:tcBorders>
            <w:vAlign w:val="center"/>
          </w:tcPr>
          <w:p w14:paraId="18866BEB">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直播实施</w:t>
            </w:r>
          </w:p>
        </w:tc>
        <w:tc>
          <w:tcPr>
            <w:tcW w:w="1039" w:type="dxa"/>
            <w:tcBorders>
              <w:left w:val="single" w:color="000000" w:sz="4" w:space="0"/>
              <w:right w:val="single" w:color="000000" w:sz="4" w:space="0"/>
            </w:tcBorders>
            <w:vAlign w:val="center"/>
          </w:tcPr>
          <w:p w14:paraId="16E45AF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直播开场</w:t>
            </w:r>
          </w:p>
        </w:tc>
        <w:tc>
          <w:tcPr>
            <w:tcW w:w="4566" w:type="dxa"/>
            <w:tcBorders>
              <w:left w:val="single" w:color="000000" w:sz="4" w:space="0"/>
              <w:right w:val="single" w:color="000000" w:sz="4" w:space="0"/>
            </w:tcBorders>
            <w:vAlign w:val="center"/>
          </w:tcPr>
          <w:p w14:paraId="08A255A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直播开场需讲解以下四项内容：问好、自我介绍、本次直播计划、促销活动。</w:t>
            </w:r>
          </w:p>
        </w:tc>
        <w:tc>
          <w:tcPr>
            <w:tcW w:w="907" w:type="dxa"/>
            <w:tcBorders>
              <w:left w:val="single" w:color="000000" w:sz="4" w:space="0"/>
              <w:right w:val="single" w:color="000000" w:sz="4" w:space="0"/>
            </w:tcBorders>
            <w:vAlign w:val="center"/>
          </w:tcPr>
          <w:p w14:paraId="61C5FA5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0.8分</w:t>
            </w:r>
          </w:p>
        </w:tc>
        <w:tc>
          <w:tcPr>
            <w:tcW w:w="865" w:type="dxa"/>
            <w:tcBorders>
              <w:left w:val="single" w:color="000000" w:sz="4" w:space="0"/>
              <w:right w:val="single" w:color="000000" w:sz="4" w:space="0"/>
            </w:tcBorders>
            <w:vAlign w:val="center"/>
          </w:tcPr>
          <w:p w14:paraId="28B39541">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0DC78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C085693">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404F5DEE">
            <w:pPr>
              <w:spacing w:line="360" w:lineRule="auto"/>
              <w:jc w:val="left"/>
              <w:rPr>
                <w:rFonts w:ascii="仿宋_GB2312" w:hAnsi="仿宋_GB2312" w:eastAsia="仿宋_GB2312" w:cs="仿宋_GB2312"/>
                <w:b/>
                <w:bCs/>
                <w:sz w:val="24"/>
              </w:rPr>
            </w:pPr>
          </w:p>
        </w:tc>
        <w:tc>
          <w:tcPr>
            <w:tcW w:w="1039" w:type="dxa"/>
            <w:vMerge w:val="restart"/>
            <w:tcBorders>
              <w:left w:val="single" w:color="000000" w:sz="4" w:space="0"/>
              <w:right w:val="single" w:color="000000" w:sz="4" w:space="0"/>
            </w:tcBorders>
            <w:vAlign w:val="center"/>
          </w:tcPr>
          <w:p w14:paraId="4D10838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商品介绍</w:t>
            </w:r>
          </w:p>
        </w:tc>
        <w:tc>
          <w:tcPr>
            <w:tcW w:w="4566" w:type="dxa"/>
            <w:tcBorders>
              <w:left w:val="single" w:color="000000" w:sz="4" w:space="0"/>
              <w:right w:val="single" w:color="000000" w:sz="4" w:space="0"/>
            </w:tcBorders>
            <w:vAlign w:val="center"/>
          </w:tcPr>
          <w:p w14:paraId="79BC091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商品引出方式采用问题情境引出、故事引出、热点引出中的一种。</w:t>
            </w:r>
          </w:p>
        </w:tc>
        <w:tc>
          <w:tcPr>
            <w:tcW w:w="907" w:type="dxa"/>
            <w:vMerge w:val="restart"/>
            <w:tcBorders>
              <w:left w:val="single" w:color="000000" w:sz="4" w:space="0"/>
              <w:right w:val="single" w:color="000000" w:sz="4" w:space="0"/>
            </w:tcBorders>
            <w:vAlign w:val="center"/>
          </w:tcPr>
          <w:p w14:paraId="35EDEC4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9.4分</w:t>
            </w:r>
          </w:p>
        </w:tc>
        <w:tc>
          <w:tcPr>
            <w:tcW w:w="865" w:type="dxa"/>
            <w:vMerge w:val="restart"/>
            <w:tcBorders>
              <w:left w:val="single" w:color="000000" w:sz="4" w:space="0"/>
            </w:tcBorders>
            <w:vAlign w:val="center"/>
          </w:tcPr>
          <w:p w14:paraId="551F6DD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70DD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087D1FB">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5DAFC88">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3466B103">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35C5B6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正确介绍商品基本属性。</w:t>
            </w:r>
          </w:p>
        </w:tc>
        <w:tc>
          <w:tcPr>
            <w:tcW w:w="907" w:type="dxa"/>
            <w:vMerge w:val="continue"/>
            <w:tcBorders>
              <w:left w:val="single" w:color="000000" w:sz="4" w:space="0"/>
              <w:right w:val="single" w:color="000000" w:sz="4" w:space="0"/>
            </w:tcBorders>
            <w:vAlign w:val="center"/>
          </w:tcPr>
          <w:p w14:paraId="3258AD7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1CC21FFA">
            <w:pPr>
              <w:spacing w:line="360" w:lineRule="auto"/>
              <w:jc w:val="left"/>
              <w:rPr>
                <w:rFonts w:ascii="仿宋_GB2312" w:hAnsi="仿宋_GB2312" w:eastAsia="仿宋_GB2312" w:cs="仿宋_GB2312"/>
                <w:sz w:val="24"/>
              </w:rPr>
            </w:pPr>
          </w:p>
        </w:tc>
      </w:tr>
      <w:tr w14:paraId="55D16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2A6A18EA">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EC167FA">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7F19C02A">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43503C9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能够讲解商品的卖点及特色，突出商品优势，强化直播间观众对直播商品的认知。</w:t>
            </w:r>
          </w:p>
        </w:tc>
        <w:tc>
          <w:tcPr>
            <w:tcW w:w="907" w:type="dxa"/>
            <w:vMerge w:val="continue"/>
            <w:tcBorders>
              <w:left w:val="single" w:color="000000" w:sz="4" w:space="0"/>
              <w:right w:val="single" w:color="000000" w:sz="4" w:space="0"/>
            </w:tcBorders>
            <w:vAlign w:val="center"/>
          </w:tcPr>
          <w:p w14:paraId="3A672A80">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17B964D2">
            <w:pPr>
              <w:spacing w:line="360" w:lineRule="auto"/>
              <w:jc w:val="left"/>
              <w:rPr>
                <w:rFonts w:ascii="仿宋_GB2312" w:hAnsi="仿宋_GB2312" w:eastAsia="仿宋_GB2312" w:cs="仿宋_GB2312"/>
                <w:sz w:val="24"/>
              </w:rPr>
            </w:pPr>
          </w:p>
        </w:tc>
      </w:tr>
      <w:tr w14:paraId="6B936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4558F67">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04790376">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2D607FB0">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4A1C3A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有商品日常价格、直播促销价的说明，并使用倒计时营造抢购氛围。</w:t>
            </w:r>
          </w:p>
        </w:tc>
        <w:tc>
          <w:tcPr>
            <w:tcW w:w="907" w:type="dxa"/>
            <w:vMerge w:val="continue"/>
            <w:tcBorders>
              <w:left w:val="single" w:color="000000" w:sz="4" w:space="0"/>
              <w:right w:val="single" w:color="000000" w:sz="4" w:space="0"/>
            </w:tcBorders>
            <w:vAlign w:val="center"/>
          </w:tcPr>
          <w:p w14:paraId="5552425A">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410E7F62">
            <w:pPr>
              <w:spacing w:line="360" w:lineRule="auto"/>
              <w:jc w:val="left"/>
              <w:rPr>
                <w:rFonts w:ascii="仿宋_GB2312" w:hAnsi="仿宋_GB2312" w:eastAsia="仿宋_GB2312" w:cs="仿宋_GB2312"/>
                <w:sz w:val="24"/>
              </w:rPr>
            </w:pPr>
          </w:p>
        </w:tc>
      </w:tr>
      <w:tr w14:paraId="752B0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4523D21D">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24D600E7">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317C5864">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91C95B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能够将FAB法则融入到商品介绍中。</w:t>
            </w:r>
          </w:p>
        </w:tc>
        <w:tc>
          <w:tcPr>
            <w:tcW w:w="907" w:type="dxa"/>
            <w:vMerge w:val="continue"/>
            <w:tcBorders>
              <w:left w:val="single" w:color="000000" w:sz="4" w:space="0"/>
              <w:right w:val="single" w:color="000000" w:sz="4" w:space="0"/>
            </w:tcBorders>
            <w:vAlign w:val="center"/>
          </w:tcPr>
          <w:p w14:paraId="466C4EA3">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40B416DC">
            <w:pPr>
              <w:spacing w:line="360" w:lineRule="auto"/>
              <w:jc w:val="left"/>
              <w:rPr>
                <w:rFonts w:ascii="仿宋_GB2312" w:hAnsi="仿宋_GB2312" w:eastAsia="仿宋_GB2312" w:cs="仿宋_GB2312"/>
                <w:sz w:val="24"/>
              </w:rPr>
            </w:pPr>
          </w:p>
        </w:tc>
      </w:tr>
      <w:tr w14:paraId="30A6E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5811F59">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5A894503">
            <w:pPr>
              <w:spacing w:line="360" w:lineRule="auto"/>
              <w:jc w:val="left"/>
              <w:rPr>
                <w:rFonts w:ascii="仿宋_GB2312" w:hAnsi="仿宋_GB2312" w:eastAsia="仿宋_GB2312" w:cs="仿宋_GB2312"/>
                <w:b/>
                <w:bCs/>
                <w:sz w:val="24"/>
              </w:rPr>
            </w:pPr>
          </w:p>
        </w:tc>
        <w:tc>
          <w:tcPr>
            <w:tcW w:w="1039" w:type="dxa"/>
            <w:vMerge w:val="continue"/>
            <w:tcBorders>
              <w:left w:val="single" w:color="000000" w:sz="4" w:space="0"/>
              <w:right w:val="single" w:color="000000" w:sz="4" w:space="0"/>
            </w:tcBorders>
            <w:vAlign w:val="center"/>
          </w:tcPr>
          <w:p w14:paraId="0EA94F88">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3FAB669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有商品的特写展示。</w:t>
            </w:r>
          </w:p>
        </w:tc>
        <w:tc>
          <w:tcPr>
            <w:tcW w:w="907" w:type="dxa"/>
            <w:vMerge w:val="continue"/>
            <w:tcBorders>
              <w:left w:val="single" w:color="000000" w:sz="4" w:space="0"/>
              <w:right w:val="single" w:color="000000" w:sz="4" w:space="0"/>
            </w:tcBorders>
            <w:vAlign w:val="center"/>
          </w:tcPr>
          <w:p w14:paraId="61FF544D">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tcBorders>
            <w:vAlign w:val="center"/>
          </w:tcPr>
          <w:p w14:paraId="5FCD0CA4">
            <w:pPr>
              <w:spacing w:line="360" w:lineRule="auto"/>
              <w:jc w:val="left"/>
              <w:rPr>
                <w:rFonts w:ascii="仿宋_GB2312" w:hAnsi="仿宋_GB2312" w:eastAsia="仿宋_GB2312" w:cs="仿宋_GB2312"/>
                <w:sz w:val="24"/>
              </w:rPr>
            </w:pPr>
          </w:p>
        </w:tc>
      </w:tr>
      <w:tr w14:paraId="35162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44E2BE5A">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64D3B8C4">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355AEA8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信息卡设置</w:t>
            </w:r>
          </w:p>
        </w:tc>
        <w:tc>
          <w:tcPr>
            <w:tcW w:w="4566" w:type="dxa"/>
            <w:tcBorders>
              <w:left w:val="single" w:color="000000" w:sz="4" w:space="0"/>
              <w:right w:val="single" w:color="000000" w:sz="4" w:space="0"/>
            </w:tcBorders>
            <w:vAlign w:val="center"/>
          </w:tcPr>
          <w:p w14:paraId="25CBA2E4">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选择合适的信息卡模板。</w:t>
            </w:r>
          </w:p>
        </w:tc>
        <w:tc>
          <w:tcPr>
            <w:tcW w:w="907" w:type="dxa"/>
            <w:tcBorders>
              <w:left w:val="single" w:color="000000" w:sz="4" w:space="0"/>
              <w:right w:val="single" w:color="000000" w:sz="4" w:space="0"/>
            </w:tcBorders>
            <w:vAlign w:val="center"/>
          </w:tcPr>
          <w:p w14:paraId="03BC2FD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29A2EF5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7E96C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7D45C93">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60C52530">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521EE23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弹幕问题回答</w:t>
            </w:r>
          </w:p>
        </w:tc>
        <w:tc>
          <w:tcPr>
            <w:tcW w:w="4566" w:type="dxa"/>
            <w:tcBorders>
              <w:left w:val="single" w:color="000000" w:sz="4" w:space="0"/>
              <w:right w:val="single" w:color="000000" w:sz="4" w:space="0"/>
            </w:tcBorders>
            <w:vAlign w:val="center"/>
          </w:tcPr>
          <w:p w14:paraId="7CB310A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准确完成弹幕问题的回答。</w:t>
            </w:r>
          </w:p>
        </w:tc>
        <w:tc>
          <w:tcPr>
            <w:tcW w:w="907" w:type="dxa"/>
            <w:tcBorders>
              <w:left w:val="single" w:color="000000" w:sz="4" w:space="0"/>
              <w:right w:val="single" w:color="000000" w:sz="4" w:space="0"/>
            </w:tcBorders>
            <w:vAlign w:val="center"/>
          </w:tcPr>
          <w:p w14:paraId="6B91659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tcBorders>
              <w:left w:val="single" w:color="000000" w:sz="4" w:space="0"/>
              <w:right w:val="single" w:color="000000" w:sz="4" w:space="0"/>
            </w:tcBorders>
            <w:vAlign w:val="center"/>
          </w:tcPr>
          <w:p w14:paraId="4AF39C67">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3EA41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459347BA">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499304DA">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1EC0A620">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直播互动</w:t>
            </w:r>
          </w:p>
        </w:tc>
        <w:tc>
          <w:tcPr>
            <w:tcW w:w="4566" w:type="dxa"/>
            <w:tcBorders>
              <w:left w:val="single" w:color="000000" w:sz="4" w:space="0"/>
              <w:right w:val="single" w:color="000000" w:sz="4" w:space="0"/>
            </w:tcBorders>
            <w:vAlign w:val="center"/>
          </w:tcPr>
          <w:p w14:paraId="70C9CB4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在互动面板设置两种有弹出效果的互动方案，互动讲解节奏安排合理恰当，能够有效活跃直播间氛围。</w:t>
            </w:r>
          </w:p>
        </w:tc>
        <w:tc>
          <w:tcPr>
            <w:tcW w:w="907" w:type="dxa"/>
            <w:tcBorders>
              <w:left w:val="single" w:color="000000" w:sz="4" w:space="0"/>
              <w:right w:val="single" w:color="000000" w:sz="4" w:space="0"/>
            </w:tcBorders>
            <w:vAlign w:val="center"/>
          </w:tcPr>
          <w:p w14:paraId="62D1647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1.2分</w:t>
            </w:r>
          </w:p>
        </w:tc>
        <w:tc>
          <w:tcPr>
            <w:tcW w:w="865" w:type="dxa"/>
            <w:tcBorders>
              <w:left w:val="single" w:color="000000" w:sz="4" w:space="0"/>
              <w:right w:val="single" w:color="000000" w:sz="4" w:space="0"/>
            </w:tcBorders>
            <w:vAlign w:val="center"/>
          </w:tcPr>
          <w:p w14:paraId="512A92F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7F13E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DF8E155">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5EE29A03">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0997D145">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直播结尾</w:t>
            </w:r>
          </w:p>
        </w:tc>
        <w:tc>
          <w:tcPr>
            <w:tcW w:w="4566" w:type="dxa"/>
            <w:tcBorders>
              <w:left w:val="single" w:color="000000" w:sz="4" w:space="0"/>
              <w:right w:val="single" w:color="000000" w:sz="4" w:space="0"/>
            </w:tcBorders>
            <w:vAlign w:val="center"/>
          </w:tcPr>
          <w:p w14:paraId="4884E70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能够进行直播收尾讲解，通过引导关注、感谢语等内容的讲解，将直播间观众转化为粉丝，引发观众留恋。</w:t>
            </w:r>
          </w:p>
        </w:tc>
        <w:tc>
          <w:tcPr>
            <w:tcW w:w="907" w:type="dxa"/>
            <w:tcBorders>
              <w:left w:val="single" w:color="000000" w:sz="4" w:space="0"/>
              <w:right w:val="single" w:color="000000" w:sz="4" w:space="0"/>
            </w:tcBorders>
            <w:vAlign w:val="center"/>
          </w:tcPr>
          <w:p w14:paraId="60B7D64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0E28BE3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50E18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5FFD75F">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1DADB3D7">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413408C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直播视频</w:t>
            </w:r>
          </w:p>
        </w:tc>
        <w:tc>
          <w:tcPr>
            <w:tcW w:w="4566" w:type="dxa"/>
            <w:tcBorders>
              <w:left w:val="single" w:color="000000" w:sz="4" w:space="0"/>
              <w:right w:val="single" w:color="000000" w:sz="4" w:space="0"/>
            </w:tcBorders>
            <w:vAlign w:val="center"/>
          </w:tcPr>
          <w:p w14:paraId="58995D3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直播讲解过程整体非常流畅、衔接自然，没有10秒以上的卡顿、冷场。</w:t>
            </w:r>
          </w:p>
        </w:tc>
        <w:tc>
          <w:tcPr>
            <w:tcW w:w="907" w:type="dxa"/>
            <w:tcBorders>
              <w:left w:val="single" w:color="000000" w:sz="4" w:space="0"/>
              <w:right w:val="single" w:color="000000" w:sz="4" w:space="0"/>
            </w:tcBorders>
            <w:vAlign w:val="center"/>
          </w:tcPr>
          <w:p w14:paraId="5B71825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865" w:type="dxa"/>
            <w:tcBorders>
              <w:left w:val="single" w:color="000000" w:sz="4" w:space="0"/>
              <w:right w:val="single" w:color="000000" w:sz="4" w:space="0"/>
            </w:tcBorders>
            <w:vAlign w:val="center"/>
          </w:tcPr>
          <w:p w14:paraId="6DB74E05">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37825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06BEA9BF">
            <w:pPr>
              <w:spacing w:line="360" w:lineRule="auto"/>
              <w:jc w:val="left"/>
              <w:rPr>
                <w:rFonts w:ascii="仿宋_GB2312" w:hAnsi="仿宋_GB2312" w:eastAsia="仿宋_GB2312" w:cs="仿宋_GB2312"/>
                <w:b/>
                <w:bCs/>
                <w:sz w:val="24"/>
              </w:rPr>
            </w:pPr>
          </w:p>
        </w:tc>
        <w:tc>
          <w:tcPr>
            <w:tcW w:w="596" w:type="dxa"/>
            <w:vMerge w:val="continue"/>
            <w:tcBorders>
              <w:left w:val="single" w:color="000000" w:sz="4" w:space="0"/>
              <w:right w:val="single" w:color="000000" w:sz="4" w:space="0"/>
            </w:tcBorders>
            <w:vAlign w:val="center"/>
          </w:tcPr>
          <w:p w14:paraId="74EA4D5C">
            <w:pPr>
              <w:spacing w:line="360" w:lineRule="auto"/>
              <w:jc w:val="left"/>
              <w:rPr>
                <w:rFonts w:ascii="仿宋_GB2312" w:hAnsi="仿宋_GB2312" w:eastAsia="仿宋_GB2312" w:cs="仿宋_GB2312"/>
                <w:b/>
                <w:bCs/>
                <w:sz w:val="24"/>
              </w:rPr>
            </w:pPr>
          </w:p>
        </w:tc>
        <w:tc>
          <w:tcPr>
            <w:tcW w:w="1039" w:type="dxa"/>
            <w:tcBorders>
              <w:left w:val="single" w:color="000000" w:sz="4" w:space="0"/>
              <w:right w:val="single" w:color="000000" w:sz="4" w:space="0"/>
            </w:tcBorders>
            <w:vAlign w:val="center"/>
          </w:tcPr>
          <w:p w14:paraId="7BB4BF5D">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直播效果整体评价</w:t>
            </w:r>
          </w:p>
        </w:tc>
        <w:tc>
          <w:tcPr>
            <w:tcW w:w="4566" w:type="dxa"/>
            <w:tcBorders>
              <w:left w:val="single" w:color="000000" w:sz="4" w:space="0"/>
              <w:right w:val="single" w:color="000000" w:sz="4" w:space="0"/>
            </w:tcBorders>
            <w:vAlign w:val="center"/>
          </w:tcPr>
          <w:p w14:paraId="5C10AA9F">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能对背景资料进行加工，内容有吸引力，直播讲解充满激情。</w:t>
            </w:r>
          </w:p>
        </w:tc>
        <w:tc>
          <w:tcPr>
            <w:tcW w:w="907" w:type="dxa"/>
            <w:tcBorders>
              <w:left w:val="single" w:color="000000" w:sz="4" w:space="0"/>
              <w:right w:val="single" w:color="000000" w:sz="4" w:space="0"/>
            </w:tcBorders>
            <w:vAlign w:val="center"/>
          </w:tcPr>
          <w:p w14:paraId="5A9AF00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3分</w:t>
            </w:r>
          </w:p>
        </w:tc>
        <w:tc>
          <w:tcPr>
            <w:tcW w:w="865" w:type="dxa"/>
            <w:tcBorders>
              <w:left w:val="single" w:color="000000" w:sz="4" w:space="0"/>
              <w:right w:val="single" w:color="000000" w:sz="4" w:space="0"/>
            </w:tcBorders>
            <w:vAlign w:val="center"/>
          </w:tcPr>
          <w:p w14:paraId="5F72883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37F58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restart"/>
            <w:tcBorders>
              <w:left w:val="single" w:color="000000" w:sz="4" w:space="0"/>
              <w:right w:val="single" w:color="000000" w:sz="4" w:space="0"/>
            </w:tcBorders>
            <w:vAlign w:val="center"/>
          </w:tcPr>
          <w:p w14:paraId="0624E9B2">
            <w:pPr>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24"/>
              </w:rPr>
              <w:t>新媒体营销</w:t>
            </w:r>
          </w:p>
        </w:tc>
        <w:tc>
          <w:tcPr>
            <w:tcW w:w="1635" w:type="dxa"/>
            <w:gridSpan w:val="2"/>
            <w:vMerge w:val="restart"/>
            <w:tcBorders>
              <w:left w:val="single" w:color="000000" w:sz="4" w:space="0"/>
              <w:right w:val="single" w:color="000000" w:sz="4" w:space="0"/>
            </w:tcBorders>
            <w:vAlign w:val="center"/>
          </w:tcPr>
          <w:p w14:paraId="7B9189B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标题</w:t>
            </w:r>
          </w:p>
        </w:tc>
        <w:tc>
          <w:tcPr>
            <w:tcW w:w="4566" w:type="dxa"/>
            <w:tcBorders>
              <w:left w:val="single" w:color="000000" w:sz="4" w:space="0"/>
              <w:right w:val="single" w:color="000000" w:sz="4" w:space="0"/>
            </w:tcBorders>
            <w:vAlign w:val="center"/>
          </w:tcPr>
          <w:p w14:paraId="0FBA652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标题撰写规范合理，无错别字</w:t>
            </w:r>
          </w:p>
        </w:tc>
        <w:tc>
          <w:tcPr>
            <w:tcW w:w="907" w:type="dxa"/>
            <w:vMerge w:val="restart"/>
            <w:tcBorders>
              <w:left w:val="single" w:color="000000" w:sz="4" w:space="0"/>
              <w:right w:val="single" w:color="000000" w:sz="4" w:space="0"/>
            </w:tcBorders>
            <w:vAlign w:val="center"/>
          </w:tcPr>
          <w:p w14:paraId="689360F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6分</w:t>
            </w:r>
          </w:p>
        </w:tc>
        <w:tc>
          <w:tcPr>
            <w:tcW w:w="865" w:type="dxa"/>
            <w:vMerge w:val="restart"/>
            <w:tcBorders>
              <w:left w:val="single" w:color="000000" w:sz="4" w:space="0"/>
              <w:right w:val="single" w:color="000000" w:sz="4" w:space="0"/>
            </w:tcBorders>
            <w:vAlign w:val="center"/>
          </w:tcPr>
          <w:p w14:paraId="5E8092D6">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134A4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355CFED">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CD00498">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59850CA">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能够激发阅读，吸引用户点击</w:t>
            </w:r>
          </w:p>
        </w:tc>
        <w:tc>
          <w:tcPr>
            <w:tcW w:w="907" w:type="dxa"/>
            <w:vMerge w:val="continue"/>
            <w:tcBorders>
              <w:left w:val="single" w:color="000000" w:sz="4" w:space="0"/>
              <w:right w:val="single" w:color="000000" w:sz="4" w:space="0"/>
            </w:tcBorders>
            <w:vAlign w:val="center"/>
          </w:tcPr>
          <w:p w14:paraId="75A8D8ED">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0D8912B3">
            <w:pPr>
              <w:spacing w:line="360" w:lineRule="auto"/>
              <w:jc w:val="left"/>
              <w:rPr>
                <w:rFonts w:ascii="仿宋_GB2312" w:hAnsi="仿宋_GB2312" w:eastAsia="仿宋_GB2312" w:cs="仿宋_GB2312"/>
                <w:sz w:val="24"/>
              </w:rPr>
            </w:pPr>
          </w:p>
        </w:tc>
      </w:tr>
      <w:tr w14:paraId="1407A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237C757B">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152D89F">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20CFEA99">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与正文内容及活动主题高度吻合。</w:t>
            </w:r>
          </w:p>
        </w:tc>
        <w:tc>
          <w:tcPr>
            <w:tcW w:w="907" w:type="dxa"/>
            <w:vMerge w:val="continue"/>
            <w:tcBorders>
              <w:left w:val="single" w:color="000000" w:sz="4" w:space="0"/>
              <w:right w:val="single" w:color="000000" w:sz="4" w:space="0"/>
            </w:tcBorders>
            <w:vAlign w:val="center"/>
          </w:tcPr>
          <w:p w14:paraId="12AB0B9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2ED861CE">
            <w:pPr>
              <w:spacing w:line="360" w:lineRule="auto"/>
              <w:jc w:val="left"/>
              <w:rPr>
                <w:rFonts w:ascii="仿宋_GB2312" w:hAnsi="仿宋_GB2312" w:eastAsia="仿宋_GB2312" w:cs="仿宋_GB2312"/>
                <w:sz w:val="24"/>
              </w:rPr>
            </w:pPr>
          </w:p>
        </w:tc>
      </w:tr>
      <w:tr w14:paraId="30F95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6424286C">
            <w:pPr>
              <w:spacing w:line="360" w:lineRule="auto"/>
              <w:jc w:val="left"/>
              <w:rPr>
                <w:rFonts w:ascii="仿宋_GB2312" w:hAnsi="仿宋_GB2312" w:eastAsia="仿宋_GB2312" w:cs="仿宋_GB2312"/>
                <w:b/>
                <w:bCs/>
                <w:sz w:val="24"/>
              </w:rPr>
            </w:pPr>
          </w:p>
        </w:tc>
        <w:tc>
          <w:tcPr>
            <w:tcW w:w="1635" w:type="dxa"/>
            <w:gridSpan w:val="2"/>
            <w:vMerge w:val="restart"/>
            <w:tcBorders>
              <w:left w:val="single" w:color="000000" w:sz="4" w:space="0"/>
              <w:right w:val="single" w:color="000000" w:sz="4" w:space="0"/>
            </w:tcBorders>
            <w:vAlign w:val="center"/>
          </w:tcPr>
          <w:p w14:paraId="3CCA5B7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正文</w:t>
            </w:r>
          </w:p>
        </w:tc>
        <w:tc>
          <w:tcPr>
            <w:tcW w:w="4566" w:type="dxa"/>
            <w:tcBorders>
              <w:left w:val="single" w:color="000000" w:sz="4" w:space="0"/>
              <w:right w:val="single" w:color="000000" w:sz="4" w:space="0"/>
            </w:tcBorders>
            <w:vAlign w:val="center"/>
          </w:tcPr>
          <w:p w14:paraId="1A1E855B">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正文部分内容与标题、活动策划方案相吻合，包含品牌推广和产品促销内容。</w:t>
            </w:r>
          </w:p>
        </w:tc>
        <w:tc>
          <w:tcPr>
            <w:tcW w:w="907" w:type="dxa"/>
            <w:vMerge w:val="restart"/>
            <w:tcBorders>
              <w:left w:val="single" w:color="000000" w:sz="4" w:space="0"/>
              <w:right w:val="single" w:color="000000" w:sz="4" w:space="0"/>
            </w:tcBorders>
            <w:vAlign w:val="center"/>
          </w:tcPr>
          <w:p w14:paraId="459F72A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18分</w:t>
            </w:r>
          </w:p>
        </w:tc>
        <w:tc>
          <w:tcPr>
            <w:tcW w:w="865" w:type="dxa"/>
            <w:vMerge w:val="restart"/>
            <w:tcBorders>
              <w:left w:val="single" w:color="000000" w:sz="4" w:space="0"/>
              <w:right w:val="single" w:color="000000" w:sz="4" w:space="0"/>
            </w:tcBorders>
            <w:vAlign w:val="center"/>
          </w:tcPr>
          <w:p w14:paraId="55612A6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65987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A63D60D">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08DBF7BF">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3EB575A4">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文案结构合理，采用总分总结构、并列结构、递进结构或正反对比结构。文案开头部分具有吸引，能吸引人继续阅读。</w:t>
            </w:r>
          </w:p>
        </w:tc>
        <w:tc>
          <w:tcPr>
            <w:tcW w:w="907" w:type="dxa"/>
            <w:vMerge w:val="continue"/>
            <w:tcBorders>
              <w:left w:val="single" w:color="000000" w:sz="4" w:space="0"/>
              <w:right w:val="single" w:color="000000" w:sz="4" w:space="0"/>
            </w:tcBorders>
            <w:vAlign w:val="center"/>
          </w:tcPr>
          <w:p w14:paraId="449D808D">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6E674106">
            <w:pPr>
              <w:spacing w:line="360" w:lineRule="auto"/>
              <w:jc w:val="left"/>
              <w:rPr>
                <w:rFonts w:ascii="仿宋_GB2312" w:hAnsi="仿宋_GB2312" w:eastAsia="仿宋_GB2312" w:cs="仿宋_GB2312"/>
                <w:sz w:val="24"/>
              </w:rPr>
            </w:pPr>
          </w:p>
        </w:tc>
      </w:tr>
      <w:tr w14:paraId="1533C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76DC32E2">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06CFE099">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6BA64ED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文案采用图文混排的展现形式，字体、字号、颜色、图片排版美观。</w:t>
            </w:r>
          </w:p>
        </w:tc>
        <w:tc>
          <w:tcPr>
            <w:tcW w:w="907" w:type="dxa"/>
            <w:vMerge w:val="continue"/>
            <w:tcBorders>
              <w:left w:val="single" w:color="000000" w:sz="4" w:space="0"/>
              <w:right w:val="single" w:color="000000" w:sz="4" w:space="0"/>
            </w:tcBorders>
            <w:vAlign w:val="center"/>
          </w:tcPr>
          <w:p w14:paraId="6D69B589">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60EC61EE">
            <w:pPr>
              <w:spacing w:line="360" w:lineRule="auto"/>
              <w:jc w:val="left"/>
              <w:rPr>
                <w:rFonts w:ascii="仿宋_GB2312" w:hAnsi="仿宋_GB2312" w:eastAsia="仿宋_GB2312" w:cs="仿宋_GB2312"/>
                <w:sz w:val="24"/>
              </w:rPr>
            </w:pPr>
          </w:p>
        </w:tc>
      </w:tr>
      <w:tr w14:paraId="4C2E1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5B2FEAB4">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C4B4314">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2E15613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图片选择恰当，与内容一致，图文内容呼应。</w:t>
            </w:r>
          </w:p>
        </w:tc>
        <w:tc>
          <w:tcPr>
            <w:tcW w:w="907" w:type="dxa"/>
            <w:vMerge w:val="continue"/>
            <w:tcBorders>
              <w:left w:val="single" w:color="000000" w:sz="4" w:space="0"/>
              <w:right w:val="single" w:color="000000" w:sz="4" w:space="0"/>
            </w:tcBorders>
            <w:vAlign w:val="center"/>
          </w:tcPr>
          <w:p w14:paraId="52359924">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499B82A8">
            <w:pPr>
              <w:spacing w:line="360" w:lineRule="auto"/>
              <w:jc w:val="left"/>
              <w:rPr>
                <w:rFonts w:ascii="仿宋_GB2312" w:hAnsi="仿宋_GB2312" w:eastAsia="仿宋_GB2312" w:cs="仿宋_GB2312"/>
                <w:sz w:val="24"/>
              </w:rPr>
            </w:pPr>
          </w:p>
        </w:tc>
      </w:tr>
      <w:tr w14:paraId="2F860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3EA5A7C3">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26041DC">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5F6CB4B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文案内容逻辑清晰，能够突出活动主题与内容</w:t>
            </w:r>
          </w:p>
        </w:tc>
        <w:tc>
          <w:tcPr>
            <w:tcW w:w="907" w:type="dxa"/>
            <w:vMerge w:val="continue"/>
            <w:tcBorders>
              <w:left w:val="single" w:color="000000" w:sz="4" w:space="0"/>
              <w:right w:val="single" w:color="000000" w:sz="4" w:space="0"/>
            </w:tcBorders>
            <w:vAlign w:val="center"/>
          </w:tcPr>
          <w:p w14:paraId="536AE5EE">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5D40CA56">
            <w:pPr>
              <w:spacing w:line="360" w:lineRule="auto"/>
              <w:jc w:val="left"/>
              <w:rPr>
                <w:rFonts w:ascii="仿宋_GB2312" w:hAnsi="仿宋_GB2312" w:eastAsia="仿宋_GB2312" w:cs="仿宋_GB2312"/>
                <w:sz w:val="24"/>
              </w:rPr>
            </w:pPr>
          </w:p>
        </w:tc>
      </w:tr>
      <w:tr w14:paraId="7260F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6D1FD93">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10413108">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03A1BC33">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活动内容描述完整，包括活动主题、时间、受众、类型、参与方式、活动细节等。</w:t>
            </w:r>
          </w:p>
        </w:tc>
        <w:tc>
          <w:tcPr>
            <w:tcW w:w="907" w:type="dxa"/>
            <w:vMerge w:val="continue"/>
            <w:tcBorders>
              <w:left w:val="single" w:color="000000" w:sz="4" w:space="0"/>
              <w:right w:val="single" w:color="000000" w:sz="4" w:space="0"/>
            </w:tcBorders>
            <w:vAlign w:val="center"/>
          </w:tcPr>
          <w:p w14:paraId="158D536F">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3F069A6E">
            <w:pPr>
              <w:spacing w:line="360" w:lineRule="auto"/>
              <w:jc w:val="left"/>
              <w:rPr>
                <w:rFonts w:ascii="仿宋_GB2312" w:hAnsi="仿宋_GB2312" w:eastAsia="仿宋_GB2312" w:cs="仿宋_GB2312"/>
                <w:sz w:val="24"/>
              </w:rPr>
            </w:pPr>
          </w:p>
        </w:tc>
      </w:tr>
      <w:tr w14:paraId="78832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7A6F4931">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0C5AB3DC">
            <w:pPr>
              <w:spacing w:line="360" w:lineRule="auto"/>
              <w:jc w:val="left"/>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737069E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尾文部分内容，能激发阅读者转发分享或点击购买的欲望。</w:t>
            </w:r>
          </w:p>
        </w:tc>
        <w:tc>
          <w:tcPr>
            <w:tcW w:w="907" w:type="dxa"/>
            <w:vMerge w:val="continue"/>
            <w:tcBorders>
              <w:left w:val="single" w:color="000000" w:sz="4" w:space="0"/>
              <w:right w:val="single" w:color="000000" w:sz="4" w:space="0"/>
            </w:tcBorders>
            <w:vAlign w:val="center"/>
          </w:tcPr>
          <w:p w14:paraId="6E18C52B">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0AC49B80">
            <w:pPr>
              <w:spacing w:line="360" w:lineRule="auto"/>
              <w:jc w:val="left"/>
              <w:rPr>
                <w:rFonts w:ascii="仿宋_GB2312" w:hAnsi="仿宋_GB2312" w:eastAsia="仿宋_GB2312" w:cs="仿宋_GB2312"/>
                <w:sz w:val="24"/>
              </w:rPr>
            </w:pPr>
          </w:p>
        </w:tc>
      </w:tr>
      <w:tr w14:paraId="61F2D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jc w:val="center"/>
        </w:trPr>
        <w:tc>
          <w:tcPr>
            <w:tcW w:w="1826" w:type="dxa"/>
            <w:gridSpan w:val="2"/>
            <w:vMerge w:val="continue"/>
            <w:tcBorders>
              <w:left w:val="single" w:color="000000" w:sz="4" w:space="0"/>
              <w:right w:val="single" w:color="000000" w:sz="4" w:space="0"/>
            </w:tcBorders>
            <w:vAlign w:val="center"/>
          </w:tcPr>
          <w:p w14:paraId="19A0CDEC">
            <w:pPr>
              <w:spacing w:line="360" w:lineRule="auto"/>
              <w:jc w:val="left"/>
              <w:rPr>
                <w:rFonts w:ascii="仿宋_GB2312" w:hAnsi="仿宋_GB2312" w:eastAsia="仿宋_GB2312" w:cs="仿宋_GB2312"/>
                <w:b/>
                <w:bCs/>
                <w:sz w:val="24"/>
              </w:rPr>
            </w:pPr>
          </w:p>
        </w:tc>
        <w:tc>
          <w:tcPr>
            <w:tcW w:w="1635" w:type="dxa"/>
            <w:gridSpan w:val="2"/>
            <w:vMerge w:val="restart"/>
            <w:tcBorders>
              <w:left w:val="single" w:color="000000" w:sz="4" w:space="0"/>
              <w:right w:val="single" w:color="000000" w:sz="4" w:space="0"/>
            </w:tcBorders>
            <w:vAlign w:val="center"/>
          </w:tcPr>
          <w:p w14:paraId="39DF9B0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封面</w:t>
            </w:r>
          </w:p>
        </w:tc>
        <w:tc>
          <w:tcPr>
            <w:tcW w:w="4566" w:type="dxa"/>
            <w:tcBorders>
              <w:left w:val="single" w:color="000000" w:sz="4" w:space="0"/>
              <w:right w:val="single" w:color="000000" w:sz="4" w:space="0"/>
            </w:tcBorders>
            <w:vAlign w:val="center"/>
          </w:tcPr>
          <w:p w14:paraId="122BB8BC">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封面图片具有吸引力</w:t>
            </w:r>
          </w:p>
        </w:tc>
        <w:tc>
          <w:tcPr>
            <w:tcW w:w="907" w:type="dxa"/>
            <w:vMerge w:val="restart"/>
            <w:tcBorders>
              <w:left w:val="single" w:color="000000" w:sz="4" w:space="0"/>
              <w:right w:val="single" w:color="000000" w:sz="4" w:space="0"/>
            </w:tcBorders>
            <w:vAlign w:val="center"/>
          </w:tcPr>
          <w:p w14:paraId="798E9ED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6分</w:t>
            </w:r>
          </w:p>
        </w:tc>
        <w:tc>
          <w:tcPr>
            <w:tcW w:w="865" w:type="dxa"/>
            <w:vMerge w:val="restart"/>
            <w:tcBorders>
              <w:left w:val="single" w:color="000000" w:sz="4" w:space="0"/>
              <w:right w:val="single" w:color="000000" w:sz="4" w:space="0"/>
            </w:tcBorders>
            <w:vAlign w:val="center"/>
          </w:tcPr>
          <w:p w14:paraId="41F08DF8">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结果评分</w:t>
            </w:r>
          </w:p>
        </w:tc>
      </w:tr>
      <w:tr w14:paraId="496E4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6" w:type="dxa"/>
            <w:gridSpan w:val="2"/>
            <w:vMerge w:val="continue"/>
            <w:tcBorders>
              <w:left w:val="single" w:color="000000" w:sz="4" w:space="0"/>
              <w:right w:val="single" w:color="000000" w:sz="4" w:space="0"/>
            </w:tcBorders>
            <w:vAlign w:val="center"/>
          </w:tcPr>
          <w:p w14:paraId="139BF083">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25ED6D35">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0688796E">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封面图片清晰、尺寸合理</w:t>
            </w:r>
          </w:p>
        </w:tc>
        <w:tc>
          <w:tcPr>
            <w:tcW w:w="907" w:type="dxa"/>
            <w:vMerge w:val="continue"/>
            <w:tcBorders>
              <w:left w:val="single" w:color="000000" w:sz="4" w:space="0"/>
              <w:right w:val="single" w:color="000000" w:sz="4" w:space="0"/>
            </w:tcBorders>
            <w:vAlign w:val="center"/>
          </w:tcPr>
          <w:p w14:paraId="5D25E07A">
            <w:pPr>
              <w:spacing w:line="360" w:lineRule="auto"/>
              <w:jc w:val="center"/>
              <w:rPr>
                <w:rFonts w:ascii="仿宋_GB2312" w:hAnsi="仿宋_GB2312" w:eastAsia="仿宋_GB2312" w:cs="仿宋_GB2312"/>
                <w:sz w:val="24"/>
              </w:rPr>
            </w:pPr>
          </w:p>
        </w:tc>
        <w:tc>
          <w:tcPr>
            <w:tcW w:w="865" w:type="dxa"/>
            <w:vMerge w:val="continue"/>
            <w:tcBorders>
              <w:left w:val="single" w:color="000000" w:sz="4" w:space="0"/>
              <w:right w:val="single" w:color="000000" w:sz="4" w:space="0"/>
            </w:tcBorders>
            <w:vAlign w:val="center"/>
          </w:tcPr>
          <w:p w14:paraId="74C24D85">
            <w:pPr>
              <w:spacing w:line="360" w:lineRule="auto"/>
              <w:jc w:val="left"/>
              <w:rPr>
                <w:rFonts w:ascii="仿宋_GB2312" w:hAnsi="仿宋_GB2312" w:eastAsia="仿宋_GB2312" w:cs="仿宋_GB2312"/>
                <w:sz w:val="24"/>
              </w:rPr>
            </w:pPr>
          </w:p>
        </w:tc>
      </w:tr>
      <w:tr w14:paraId="56302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1826" w:type="dxa"/>
            <w:gridSpan w:val="2"/>
            <w:vMerge w:val="continue"/>
            <w:tcBorders>
              <w:left w:val="single" w:color="000000" w:sz="4" w:space="0"/>
              <w:right w:val="single" w:color="000000" w:sz="4" w:space="0"/>
            </w:tcBorders>
            <w:vAlign w:val="center"/>
          </w:tcPr>
          <w:p w14:paraId="08E20D1B">
            <w:pPr>
              <w:spacing w:line="360" w:lineRule="auto"/>
              <w:jc w:val="left"/>
              <w:rPr>
                <w:rFonts w:ascii="仿宋_GB2312" w:hAnsi="仿宋_GB2312" w:eastAsia="仿宋_GB2312" w:cs="仿宋_GB2312"/>
                <w:b/>
                <w:bCs/>
                <w:sz w:val="24"/>
              </w:rPr>
            </w:pPr>
          </w:p>
        </w:tc>
        <w:tc>
          <w:tcPr>
            <w:tcW w:w="1635" w:type="dxa"/>
            <w:gridSpan w:val="2"/>
            <w:vMerge w:val="continue"/>
            <w:tcBorders>
              <w:left w:val="single" w:color="000000" w:sz="4" w:space="0"/>
              <w:right w:val="single" w:color="000000" w:sz="4" w:space="0"/>
            </w:tcBorders>
            <w:vAlign w:val="center"/>
          </w:tcPr>
          <w:p w14:paraId="36ADC1CE">
            <w:pPr>
              <w:spacing w:line="360" w:lineRule="auto"/>
              <w:jc w:val="center"/>
              <w:rPr>
                <w:rFonts w:ascii="仿宋_GB2312" w:hAnsi="仿宋_GB2312" w:eastAsia="仿宋_GB2312" w:cs="仿宋_GB2312"/>
                <w:sz w:val="24"/>
              </w:rPr>
            </w:pPr>
          </w:p>
        </w:tc>
        <w:tc>
          <w:tcPr>
            <w:tcW w:w="4566" w:type="dxa"/>
            <w:tcBorders>
              <w:left w:val="single" w:color="000000" w:sz="4" w:space="0"/>
              <w:right w:val="single" w:color="000000" w:sz="4" w:space="0"/>
            </w:tcBorders>
            <w:vAlign w:val="center"/>
          </w:tcPr>
          <w:p w14:paraId="2F2F95B2">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能反映商品和活动主题</w:t>
            </w:r>
          </w:p>
        </w:tc>
        <w:tc>
          <w:tcPr>
            <w:tcW w:w="907" w:type="dxa"/>
            <w:vMerge w:val="continue"/>
            <w:tcBorders>
              <w:left w:val="single" w:color="000000" w:sz="4" w:space="0"/>
              <w:right w:val="single" w:color="000000" w:sz="4" w:space="0"/>
            </w:tcBorders>
            <w:vAlign w:val="center"/>
          </w:tcPr>
          <w:p w14:paraId="1EBB99D2">
            <w:pPr>
              <w:spacing w:line="360" w:lineRule="auto"/>
              <w:jc w:val="center"/>
              <w:rPr>
                <w:rFonts w:ascii="仿宋_GB2312" w:hAnsi="仿宋_GB2312" w:eastAsia="仿宋_GB2312" w:cs="仿宋_GB2312"/>
                <w:sz w:val="24"/>
              </w:rPr>
            </w:pPr>
          </w:p>
        </w:tc>
        <w:tc>
          <w:tcPr>
            <w:tcW w:w="865" w:type="dxa"/>
            <w:tcBorders>
              <w:left w:val="single" w:color="000000" w:sz="4" w:space="0"/>
              <w:right w:val="single" w:color="000000" w:sz="4" w:space="0"/>
            </w:tcBorders>
            <w:vAlign w:val="center"/>
          </w:tcPr>
          <w:p w14:paraId="5A00693C">
            <w:pPr>
              <w:spacing w:line="360" w:lineRule="auto"/>
              <w:jc w:val="left"/>
              <w:rPr>
                <w:rFonts w:ascii="仿宋_GB2312" w:hAnsi="仿宋_GB2312" w:eastAsia="仿宋_GB2312" w:cs="仿宋_GB2312"/>
                <w:sz w:val="24"/>
              </w:rPr>
            </w:pPr>
          </w:p>
        </w:tc>
      </w:tr>
    </w:tbl>
    <w:p w14:paraId="2B53FB41">
      <w:pPr>
        <w:pStyle w:val="6"/>
        <w:spacing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（二）评分方式</w:t>
      </w:r>
    </w:p>
    <w:p w14:paraId="172EFD39">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1.裁判员选聘：裁判长1名，裁判聘请数量依据参赛队报名数量确定。</w:t>
      </w:r>
    </w:p>
    <w:p w14:paraId="75F8F64B">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2.评分方法：分</w:t>
      </w:r>
      <w:bookmarkStart w:id="3" w:name="_Hlk89277323"/>
      <w:r>
        <w:rPr>
          <w:rFonts w:hint="eastAsia" w:ascii="仿宋_GB2312" w:hAnsi="仿宋_GB2312" w:eastAsia="仿宋_GB2312" w:cs="仿宋_GB2312"/>
          <w:kern w:val="2"/>
          <w:sz w:val="28"/>
          <w:szCs w:val="28"/>
        </w:rPr>
        <w:t>为</w:t>
      </w:r>
      <w:bookmarkEnd w:id="3"/>
      <w:r>
        <w:rPr>
          <w:rFonts w:hint="eastAsia" w:ascii="仿宋_GB2312" w:hAnsi="仿宋_GB2312" w:eastAsia="仿宋_GB2312" w:cs="仿宋_GB2312"/>
          <w:kern w:val="2"/>
          <w:sz w:val="28"/>
          <w:szCs w:val="28"/>
        </w:rPr>
        <w:t>机考评分和结果评分。</w:t>
      </w:r>
    </w:p>
    <w:p w14:paraId="5067C0B6">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3.成绩产生方法：按100分制计分，由高到低进行排名，如出现总成绩相同的情况，优先以数字营销推广成绩进行排名，若数字营销推广成绩仍相同则按照直播营销成绩进行排名。</w:t>
      </w:r>
    </w:p>
    <w:p w14:paraId="5A822AFA">
      <w:pPr>
        <w:pStyle w:val="6"/>
        <w:spacing w:before="0" w:after="0" w:line="360" w:lineRule="auto"/>
        <w:ind w:left="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4．成绩审核方法：为保障成绩评判的准确性，监督仲裁组将对赛项总成绩排名前30%的所有参赛队的成绩进行复核；对其余成绩进行抽检复核，抽检覆盖率不得低于15%。如发现成绩错误以书面方式及时告知裁判长，由裁判长更正成绩并签字确认。复核、抽检错误率超过5%的，裁判组将对所有成绩进行复核。</w:t>
      </w:r>
    </w:p>
    <w:p w14:paraId="53724490">
      <w:pPr>
        <w:pStyle w:val="6"/>
        <w:spacing w:before="0" w:after="0" w:line="360" w:lineRule="auto"/>
        <w:ind w:left="0" w:firstLine="560" w:firstLineChars="200"/>
      </w:pPr>
      <w:r>
        <w:rPr>
          <w:rFonts w:hint="eastAsia" w:ascii="仿宋_GB2312" w:hAnsi="仿宋_GB2312" w:eastAsia="仿宋_GB2312" w:cs="仿宋_GB2312"/>
          <w:kern w:val="2"/>
          <w:sz w:val="28"/>
          <w:szCs w:val="28"/>
        </w:rPr>
        <w:t>5．成绩公布方法：记分员将解密后的各参赛队伍（选手）成绩汇总成比赛成绩，经裁判长、监督仲裁组签字后，公布比赛结果。</w:t>
      </w:r>
    </w:p>
    <w:p w14:paraId="30B14743">
      <w:pPr>
        <w:pStyle w:val="2"/>
        <w:rPr>
          <w:b w:val="0"/>
          <w:bCs/>
        </w:rPr>
      </w:pPr>
      <w:r>
        <w:rPr>
          <w:rFonts w:hint="eastAsia"/>
          <w:b w:val="0"/>
          <w:bCs/>
        </w:rPr>
        <w:t>十、奖项设置</w:t>
      </w:r>
    </w:p>
    <w:p w14:paraId="48E92F33">
      <w:pPr>
        <w:pStyle w:val="6"/>
        <w:keepNext w:val="0"/>
        <w:keepLines w:val="0"/>
        <w:pageBreakBefore w:val="0"/>
        <w:widowControl/>
        <w:kinsoku/>
        <w:wordWrap/>
        <w:overflowPunct w:val="0"/>
        <w:topLinePunct w:val="0"/>
        <w:autoSpaceDE w:val="0"/>
        <w:autoSpaceDN w:val="0"/>
        <w:bidi w:val="0"/>
        <w:adjustRightInd w:val="0"/>
        <w:snapToGrid/>
        <w:spacing w:before="0" w:after="0" w:line="360" w:lineRule="auto"/>
        <w:ind w:left="0" w:firstLine="560" w:firstLineChars="200"/>
        <w:textAlignment w:val="baseline"/>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设团体一、二、三等奖，以赛项实际参赛队总数为基数，一、二、三等奖获奖比例分别为10%、20%、30%（小数点后四舍五入）。</w:t>
      </w:r>
    </w:p>
    <w:p w14:paraId="185D040D">
      <w:pPr>
        <w:pStyle w:val="2"/>
        <w:rPr>
          <w:b w:val="0"/>
          <w:bCs/>
        </w:rPr>
      </w:pPr>
      <w:r>
        <w:rPr>
          <w:rFonts w:hint="eastAsia"/>
          <w:b w:val="0"/>
          <w:bCs/>
        </w:rPr>
        <w:t>十一、申诉与仲裁</w:t>
      </w:r>
    </w:p>
    <w:p w14:paraId="15E2E95C">
      <w:pPr>
        <w:spacing w:line="360" w:lineRule="auto"/>
        <w:ind w:right="210" w:rightChars="100"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赛项在比赛过程中若出现有失公正或有关人员违规等现象，代表队领队可在比赛结束后（选手赛场比赛内容全部完成）1小时之内向仲裁组提出书面申诉。超过时效不予受理。赛项监督仲裁工作组在接到申诉报告后的1小时内组织复议，并及时将复议结果以书面形式告知申诉方。</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13D236-A542-49CC-890E-21C1280C12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2" w:fontKey="{845B670F-6555-4A05-AE98-F3B85F621E68}"/>
  </w:font>
  <w:font w:name="仿宋_GB2312">
    <w:panose1 w:val="02010609030101010101"/>
    <w:charset w:val="86"/>
    <w:family w:val="modern"/>
    <w:pitch w:val="default"/>
    <w:sig w:usb0="00000001" w:usb1="080E0000" w:usb2="00000000" w:usb3="00000000" w:csb0="00040000" w:csb1="00000000"/>
    <w:embedRegular r:id="rId3" w:fontKey="{B40C9126-C646-4DD1-8C85-0DFC153482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D0F2D">
    <w:pPr>
      <w:pStyle w:val="1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5209B">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C2B52">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2BC2B52">
                    <w:pPr>
                      <w:pStyle w:val="10"/>
                    </w:pPr>
                    <w:r>
                      <w:fldChar w:fldCharType="begin"/>
                    </w:r>
                    <w:r>
                      <w:instrText xml:space="preserve"> PAGE  \* MERGEFORMAT </w:instrText>
                    </w:r>
                    <w:r>
                      <w:fldChar w:fldCharType="separate"/>
                    </w:r>
                    <w:r>
                      <w:t>32</w:t>
                    </w:r>
                    <w:r>
                      <w:fldChar w:fldCharType="end"/>
                    </w:r>
                  </w:p>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303C40"/>
    <w:multiLevelType w:val="multilevel"/>
    <w:tmpl w:val="2D303C40"/>
    <w:lvl w:ilvl="0" w:tentative="0">
      <w:start w:val="4"/>
      <w:numFmt w:val="bullet"/>
      <w:lvlText w:val="□"/>
      <w:lvlJc w:val="left"/>
      <w:pPr>
        <w:tabs>
          <w:tab w:val="left" w:pos="360"/>
        </w:tabs>
        <w:ind w:left="360" w:hanging="360"/>
      </w:pPr>
      <w:rPr>
        <w:rFonts w:hint="eastAsia" w:ascii="宋体" w:hAnsi="宋体" w:eastAsia="宋体" w:cs="Times New Roman"/>
        <w:b/>
        <w:sz w:val="44"/>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3"/>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5MTE1MWUxZjUxNjE4YzA2NDZjMWRkNWVkZTczOWYifQ=="/>
  </w:docVars>
  <w:rsids>
    <w:rsidRoot w:val="622A36E7"/>
    <w:rsid w:val="00074827"/>
    <w:rsid w:val="000A1467"/>
    <w:rsid w:val="00386FEE"/>
    <w:rsid w:val="003E141B"/>
    <w:rsid w:val="0043508A"/>
    <w:rsid w:val="00630970"/>
    <w:rsid w:val="006517EC"/>
    <w:rsid w:val="008144C1"/>
    <w:rsid w:val="00873967"/>
    <w:rsid w:val="00A279A8"/>
    <w:rsid w:val="01233A9E"/>
    <w:rsid w:val="033F5E19"/>
    <w:rsid w:val="0367297F"/>
    <w:rsid w:val="04F642DE"/>
    <w:rsid w:val="055204AE"/>
    <w:rsid w:val="05537D0A"/>
    <w:rsid w:val="05B44CC5"/>
    <w:rsid w:val="06016576"/>
    <w:rsid w:val="07C043E8"/>
    <w:rsid w:val="07D6114F"/>
    <w:rsid w:val="08F655F4"/>
    <w:rsid w:val="0AD67DBA"/>
    <w:rsid w:val="0BA17A99"/>
    <w:rsid w:val="0C0F0EA7"/>
    <w:rsid w:val="0C324B95"/>
    <w:rsid w:val="0C8573BB"/>
    <w:rsid w:val="0D21137C"/>
    <w:rsid w:val="0DA11FD2"/>
    <w:rsid w:val="0E9262B2"/>
    <w:rsid w:val="0EF90561"/>
    <w:rsid w:val="11300B74"/>
    <w:rsid w:val="11FC3C7B"/>
    <w:rsid w:val="12661A3D"/>
    <w:rsid w:val="1331204B"/>
    <w:rsid w:val="13785584"/>
    <w:rsid w:val="13B8313D"/>
    <w:rsid w:val="14470291"/>
    <w:rsid w:val="14737768"/>
    <w:rsid w:val="15135779"/>
    <w:rsid w:val="162B1A4C"/>
    <w:rsid w:val="17321EED"/>
    <w:rsid w:val="181B5077"/>
    <w:rsid w:val="185A5F29"/>
    <w:rsid w:val="194F4FD8"/>
    <w:rsid w:val="19F41BE9"/>
    <w:rsid w:val="1A07140F"/>
    <w:rsid w:val="1B3A769E"/>
    <w:rsid w:val="1CC32612"/>
    <w:rsid w:val="1CEE02BC"/>
    <w:rsid w:val="1EFF4C2E"/>
    <w:rsid w:val="1F370577"/>
    <w:rsid w:val="1F8D70FD"/>
    <w:rsid w:val="202D5948"/>
    <w:rsid w:val="211437CE"/>
    <w:rsid w:val="237D4370"/>
    <w:rsid w:val="23B343B6"/>
    <w:rsid w:val="24212BF2"/>
    <w:rsid w:val="244A1145"/>
    <w:rsid w:val="25140E84"/>
    <w:rsid w:val="254479BB"/>
    <w:rsid w:val="255303DE"/>
    <w:rsid w:val="28B906C0"/>
    <w:rsid w:val="29F82489"/>
    <w:rsid w:val="2A291D45"/>
    <w:rsid w:val="2A961358"/>
    <w:rsid w:val="2ACA0963"/>
    <w:rsid w:val="2B487ADA"/>
    <w:rsid w:val="2B8C79C6"/>
    <w:rsid w:val="2BA25857"/>
    <w:rsid w:val="2C42277B"/>
    <w:rsid w:val="2C4B7881"/>
    <w:rsid w:val="2C8132A3"/>
    <w:rsid w:val="2D053ED4"/>
    <w:rsid w:val="2D8B4130"/>
    <w:rsid w:val="2DCE7B02"/>
    <w:rsid w:val="2DD83397"/>
    <w:rsid w:val="2E56250D"/>
    <w:rsid w:val="2F7104E2"/>
    <w:rsid w:val="2FB24DFE"/>
    <w:rsid w:val="301937F3"/>
    <w:rsid w:val="31864EB8"/>
    <w:rsid w:val="318C274E"/>
    <w:rsid w:val="31A87524"/>
    <w:rsid w:val="35D204D1"/>
    <w:rsid w:val="35E90D57"/>
    <w:rsid w:val="366949C8"/>
    <w:rsid w:val="36CC15BF"/>
    <w:rsid w:val="38044D88"/>
    <w:rsid w:val="38673C95"/>
    <w:rsid w:val="397228F1"/>
    <w:rsid w:val="397B107A"/>
    <w:rsid w:val="39900FC9"/>
    <w:rsid w:val="3A121F97"/>
    <w:rsid w:val="3BD66A3C"/>
    <w:rsid w:val="3C577B7C"/>
    <w:rsid w:val="3E9B4698"/>
    <w:rsid w:val="3F5900B0"/>
    <w:rsid w:val="413D3F4E"/>
    <w:rsid w:val="43BC57F0"/>
    <w:rsid w:val="48164D90"/>
    <w:rsid w:val="497F0713"/>
    <w:rsid w:val="4AAF1765"/>
    <w:rsid w:val="4B904E59"/>
    <w:rsid w:val="4BCD6719"/>
    <w:rsid w:val="4E2D2E33"/>
    <w:rsid w:val="4E850579"/>
    <w:rsid w:val="4F8853F0"/>
    <w:rsid w:val="4FF83023"/>
    <w:rsid w:val="51450494"/>
    <w:rsid w:val="52BF009D"/>
    <w:rsid w:val="540226B1"/>
    <w:rsid w:val="54A33370"/>
    <w:rsid w:val="54BA187B"/>
    <w:rsid w:val="55103BD6"/>
    <w:rsid w:val="556C4241"/>
    <w:rsid w:val="563B3C13"/>
    <w:rsid w:val="56F40F4D"/>
    <w:rsid w:val="57063837"/>
    <w:rsid w:val="57272B15"/>
    <w:rsid w:val="5886386C"/>
    <w:rsid w:val="58D520FD"/>
    <w:rsid w:val="5932687E"/>
    <w:rsid w:val="593B649F"/>
    <w:rsid w:val="5A3D61AC"/>
    <w:rsid w:val="5A986326"/>
    <w:rsid w:val="5AA31307"/>
    <w:rsid w:val="5B084A0C"/>
    <w:rsid w:val="5BCA3A6F"/>
    <w:rsid w:val="5C090A3C"/>
    <w:rsid w:val="5C11169E"/>
    <w:rsid w:val="5CAA50FB"/>
    <w:rsid w:val="5DF72B16"/>
    <w:rsid w:val="5E6108B9"/>
    <w:rsid w:val="5E987E55"/>
    <w:rsid w:val="5FBD2D5C"/>
    <w:rsid w:val="5FF4555F"/>
    <w:rsid w:val="600E4817"/>
    <w:rsid w:val="60AF592A"/>
    <w:rsid w:val="61493864"/>
    <w:rsid w:val="622A36E7"/>
    <w:rsid w:val="650E0E71"/>
    <w:rsid w:val="65B05E62"/>
    <w:rsid w:val="67094048"/>
    <w:rsid w:val="678216A2"/>
    <w:rsid w:val="681430FA"/>
    <w:rsid w:val="69FE1E6B"/>
    <w:rsid w:val="6A385281"/>
    <w:rsid w:val="6B8478B1"/>
    <w:rsid w:val="6C011EDD"/>
    <w:rsid w:val="6C4537CF"/>
    <w:rsid w:val="6D5E04BB"/>
    <w:rsid w:val="6EDF73DA"/>
    <w:rsid w:val="70D127C9"/>
    <w:rsid w:val="71061D1D"/>
    <w:rsid w:val="71632544"/>
    <w:rsid w:val="71B40FF2"/>
    <w:rsid w:val="71BC7EA6"/>
    <w:rsid w:val="726061A0"/>
    <w:rsid w:val="72D761FB"/>
    <w:rsid w:val="742A10F7"/>
    <w:rsid w:val="754879CE"/>
    <w:rsid w:val="76593F16"/>
    <w:rsid w:val="765E353C"/>
    <w:rsid w:val="78B611AB"/>
    <w:rsid w:val="7A5325C6"/>
    <w:rsid w:val="7A7757EF"/>
    <w:rsid w:val="7A950625"/>
    <w:rsid w:val="7CCD2F68"/>
    <w:rsid w:val="7CE56503"/>
    <w:rsid w:val="7D625DA6"/>
    <w:rsid w:val="7F101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6"/>
    <w:autoRedefine/>
    <w:unhideWhenUsed/>
    <w:qFormat/>
    <w:uiPriority w:val="9"/>
    <w:pPr>
      <w:keepNext/>
      <w:keepLines/>
      <w:spacing w:before="260" w:after="260" w:line="413" w:lineRule="auto"/>
      <w:outlineLvl w:val="1"/>
    </w:pPr>
    <w:rPr>
      <w:rFonts w:ascii="Arial" w:hAnsi="Arial" w:eastAsia="黑体"/>
      <w:b/>
      <w:sz w:val="32"/>
    </w:rPr>
  </w:style>
  <w:style w:type="paragraph" w:styleId="3">
    <w:name w:val="heading 3"/>
    <w:basedOn w:val="1"/>
    <w:next w:val="1"/>
    <w:autoRedefine/>
    <w:qFormat/>
    <w:uiPriority w:val="0"/>
    <w:pPr>
      <w:widowControl/>
      <w:numPr>
        <w:ilvl w:val="2"/>
        <w:numId w:val="1"/>
      </w:numPr>
      <w:tabs>
        <w:tab w:val="left" w:pos="360"/>
      </w:tabs>
      <w:spacing w:after="80" w:line="256" w:lineRule="auto"/>
      <w:outlineLvl w:val="2"/>
    </w:pPr>
    <w:rPr>
      <w:rFonts w:ascii="微软雅黑" w:hAnsi="微软雅黑" w:eastAsia="微软雅黑" w:cs="微软雅黑"/>
      <w:b/>
      <w:color w:val="003764"/>
      <w:kern w:val="0"/>
      <w:sz w:val="22"/>
      <w:lang w:val="en-GB"/>
    </w:rPr>
  </w:style>
  <w:style w:type="paragraph" w:styleId="4">
    <w:name w:val="heading 4"/>
    <w:basedOn w:val="1"/>
    <w:next w:val="1"/>
    <w:autoRedefine/>
    <w:unhideWhenUsed/>
    <w:qFormat/>
    <w:uiPriority w:val="0"/>
    <w:pPr>
      <w:keepNext/>
      <w:keepLines/>
      <w:spacing w:before="280" w:line="372" w:lineRule="auto"/>
      <w:outlineLvl w:val="3"/>
    </w:pPr>
    <w:rPr>
      <w:rFonts w:ascii="Arial" w:hAnsi="Arial" w:eastAsia="黑体"/>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rPr>
      <w:rFonts w:ascii="Times New Roman" w:hAnsi="Times New Roman" w:eastAsiaTheme="minorEastAsia" w:cstheme="minorBidi"/>
    </w:rPr>
  </w:style>
  <w:style w:type="paragraph" w:styleId="6">
    <w:name w:val="Body Text"/>
    <w:basedOn w:val="1"/>
    <w:next w:val="1"/>
    <w:autoRedefine/>
    <w:qFormat/>
    <w:uiPriority w:val="99"/>
    <w:pPr>
      <w:widowControl/>
      <w:overflowPunct w:val="0"/>
      <w:autoSpaceDE w:val="0"/>
      <w:autoSpaceDN w:val="0"/>
      <w:adjustRightInd w:val="0"/>
      <w:spacing w:before="120" w:after="120"/>
      <w:ind w:left="2552"/>
      <w:jc w:val="left"/>
      <w:textAlignment w:val="baseline"/>
    </w:pPr>
    <w:rPr>
      <w:rFonts w:ascii="Book Antiqua" w:hAnsi="Book Antiqua"/>
      <w:kern w:val="0"/>
      <w:szCs w:val="20"/>
    </w:rPr>
  </w:style>
  <w:style w:type="paragraph" w:styleId="7">
    <w:name w:val="Body Text Indent"/>
    <w:basedOn w:val="1"/>
    <w:autoRedefine/>
    <w:unhideWhenUsed/>
    <w:qFormat/>
    <w:uiPriority w:val="99"/>
    <w:pPr>
      <w:spacing w:after="120"/>
      <w:ind w:left="420" w:leftChars="200"/>
    </w:pPr>
  </w:style>
  <w:style w:type="paragraph" w:styleId="8">
    <w:name w:val="Body Text Indent 2"/>
    <w:basedOn w:val="1"/>
    <w:autoRedefine/>
    <w:qFormat/>
    <w:uiPriority w:val="99"/>
    <w:pPr>
      <w:spacing w:after="120" w:line="480" w:lineRule="auto"/>
      <w:ind w:left="420" w:leftChars="200"/>
    </w:pPr>
  </w:style>
  <w:style w:type="paragraph" w:styleId="9">
    <w:name w:val="Balloon Text"/>
    <w:basedOn w:val="1"/>
    <w:link w:val="18"/>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Body Text First Indent 2"/>
    <w:basedOn w:val="7"/>
    <w:autoRedefine/>
    <w:unhideWhenUsed/>
    <w:qFormat/>
    <w:uiPriority w:val="99"/>
    <w:pPr>
      <w:ind w:firstLine="420" w:firstLineChars="200"/>
    </w:pPr>
  </w:style>
  <w:style w:type="table" w:styleId="14">
    <w:name w:val="Table Grid"/>
    <w:basedOn w:val="13"/>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标题 2 Char"/>
    <w:link w:val="2"/>
    <w:autoRedefine/>
    <w:qFormat/>
    <w:uiPriority w:val="0"/>
    <w:rPr>
      <w:rFonts w:ascii="Arial" w:hAnsi="Arial" w:eastAsia="黑体"/>
      <w:b/>
      <w:sz w:val="32"/>
    </w:rPr>
  </w:style>
  <w:style w:type="character" w:customStyle="1" w:styleId="17">
    <w:name w:val="Editable"/>
    <w:basedOn w:val="15"/>
    <w:autoRedefine/>
    <w:qFormat/>
    <w:uiPriority w:val="0"/>
    <w:rPr>
      <w:rFonts w:hint="default" w:ascii="Times New Roman" w:hAnsi="Times New Roman" w:cs="Times New Roman"/>
      <w:color w:val="62B5E5"/>
    </w:rPr>
  </w:style>
  <w:style w:type="character" w:customStyle="1" w:styleId="18">
    <w:name w:val="批注框文本 Char"/>
    <w:basedOn w:val="15"/>
    <w:link w:val="9"/>
    <w:qFormat/>
    <w:uiPriority w:val="0"/>
    <w:rPr>
      <w:rFonts w:ascii="Calibri" w:hAnsi="Calibri"/>
      <w:kern w:val="2"/>
      <w:sz w:val="18"/>
      <w:szCs w:val="18"/>
    </w:rPr>
  </w:style>
  <w:style w:type="paragraph" w:customStyle="1" w:styleId="19">
    <w:name w:val="Table Text"/>
    <w:basedOn w:val="1"/>
    <w:semiHidden/>
    <w:qFormat/>
    <w:uiPriority w:val="0"/>
    <w:rPr>
      <w:rFonts w:ascii="仿宋" w:hAnsi="仿宋" w:eastAsia="仿宋" w:cs="仿宋"/>
      <w:sz w:val="24"/>
      <w:szCs w:val="24"/>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14348</Words>
  <Characters>14847</Characters>
  <Lines>110</Lines>
  <Paragraphs>31</Paragraphs>
  <TotalTime>10</TotalTime>
  <ScaleCrop>false</ScaleCrop>
  <LinksUpToDate>false</LinksUpToDate>
  <CharactersWithSpaces>14904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2024-04-01T07:57:00Z</dcterms:created>
  <dc:creator>Remain</dc:creator>
  <cp:lastModifiedBy>益智游戏</cp:lastModifiedBy>
  <cp:lastPrinted>2024-04-01T08:02:00Z</cp:lastPrinted>
  <dcterms:modified xsi:type="dcterms:W3CDTF">2025-06-09T06:41:19Z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FD9AA2175C7640D2B72DFF1A4280B062_13</vt:lpwstr>
  </property>
  <property fmtid="{D5CDD505-2E9C-101B-9397-08002B2CF9AE}" pid="4" name="KSOTemplateDocerSaveRecord">
    <vt:lpwstr>eyJoZGlkIjoiM2JiMDNlNmVlNzYyMTZjNjkyNjJjNTU3N2U0ODc2NzAiLCJ1c2VySWQiOiIzNDgxMzQwOTQifQ==</vt:lpwstr>
  </property>
</Properties>
</file>