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464646" w:sz="6" w:space="15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关于举办2025年唐山市职业院校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464646" w:sz="6" w:space="15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农机检修技能大赛（中职）暨河北省职业院校技能大赛选拔赛的通知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各有关参赛单位：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根据市教育局下发的《唐山市教育局关于举办202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年中等职业学校技能竞赛的通知》文件精神，现将202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年唐山市职业院校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农机检修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技能大赛（中职）暨河北省职业院校技能大赛选拔赛的有关事项通知如下：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一、主办单位：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唐山市教育局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二、承办单位: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职业技术教育中心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三、技术支持单位：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石家庄华拓科贸有限公司 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四、时间和地点安排：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（一）报到时间与地点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日8: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:00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职教中心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迁西县兴城镇白堡街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（二）领队会时间、地点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:30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职教中心会议室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（三）比赛时间、地点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:00—16: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职教中心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11号汽修车间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（四）离会时间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日比赛结束后。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五、比赛内容与规程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竞赛内容参照《农机修理工》（四级）实践操作技能要求标准。竞赛内容主要包括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lang w:val="en-US" w:eastAsia="zh-CN"/>
        </w:rPr>
        <w:t>项目一农机检修基础理论，时间30分钟，</w:t>
      </w:r>
      <w:r>
        <w:rPr>
          <w:rFonts w:hint="eastAsia" w:ascii="仿宋_GB2312" w:hAnsi="微软雅黑" w:eastAsia="仿宋_GB2312" w:cs="宋体"/>
          <w:bCs/>
          <w:color w:val="000000"/>
          <w:sz w:val="32"/>
          <w:szCs w:val="32"/>
        </w:rPr>
        <w:t>分值100分，</w:t>
      </w:r>
      <w:r>
        <w:rPr>
          <w:rFonts w:hint="eastAsia" w:ascii="仿宋_GB2312" w:hAnsi="微软雅黑" w:eastAsia="仿宋_GB2312" w:cs="宋体"/>
          <w:bCs/>
          <w:color w:val="000000"/>
          <w:sz w:val="32"/>
          <w:szCs w:val="32"/>
          <w:lang w:val="en-US" w:eastAsia="zh-CN"/>
        </w:rPr>
        <w:t>成绩占比40%。</w:t>
      </w:r>
      <w:r>
        <w:rPr>
          <w:rFonts w:hint="eastAsia" w:ascii="仿宋_GB2312" w:hAnsi="微软雅黑" w:eastAsia="仿宋_GB2312" w:cs="宋体"/>
          <w:bCs/>
          <w:color w:val="000000"/>
          <w:sz w:val="32"/>
          <w:szCs w:val="32"/>
        </w:rPr>
        <w:t>试题</w:t>
      </w:r>
      <w:r>
        <w:rPr>
          <w:rFonts w:hint="eastAsia" w:ascii="仿宋_GB2312" w:hAnsi="微软雅黑" w:eastAsia="仿宋_GB2312" w:cs="宋体"/>
          <w:bCs/>
          <w:color w:val="000000"/>
          <w:sz w:val="32"/>
          <w:szCs w:val="32"/>
          <w:lang w:val="en-US" w:eastAsia="zh-CN"/>
        </w:rPr>
        <w:t>主要</w:t>
      </w:r>
      <w:r>
        <w:rPr>
          <w:rFonts w:hint="eastAsia" w:ascii="仿宋_GB2312" w:hAnsi="微软雅黑" w:eastAsia="仿宋_GB2312" w:cs="宋体"/>
          <w:bCs/>
          <w:color w:val="000000"/>
          <w:sz w:val="32"/>
          <w:szCs w:val="32"/>
        </w:rPr>
        <w:t>由单选题、是非题组成。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lang w:val="en-US" w:eastAsia="zh-CN"/>
        </w:rPr>
        <w:t>项目二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auto"/>
        </w:rPr>
        <w:t>农用高压共轨多缸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柴油机拆装与检修，时间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分钟，成绩占比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%。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赛项模块、比赛时长及分值配比见下表 1 所示。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hint="eastAsia" w:ascii="仿宋_GB2312" w:hAnsi="微软雅黑" w:eastAsia="仿宋_GB2312"/>
          <w:color w:val="FF0000"/>
          <w:sz w:val="32"/>
          <w:szCs w:val="32"/>
        </w:rPr>
      </w:pPr>
      <w:r>
        <w:rPr>
          <w:rFonts w:hint="eastAsia"/>
        </w:rPr>
        <w:t>表1 赛项主要内容</w:t>
      </w:r>
    </w:p>
    <w:tbl>
      <w:tblPr>
        <w:tblStyle w:val="11"/>
        <w:tblW w:w="83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32"/>
        <w:gridCol w:w="3875"/>
        <w:gridCol w:w="1175"/>
        <w:gridCol w:w="82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比赛时长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项目一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基础理论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农机维护基础理论知识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30分钟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电控柴油机拆装与检修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多缸柴油发动机及配套农具零件的鉴定；部件及总成件拆卸、检测、装配、调试及检修。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3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100分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比赛规程：详见附件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六、参赛对象与组队要求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.组队方式：本赛项为学生个人赛，以院校为单位组队参赛，不得跨校组队，每个参赛队限报1名领队、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名指导教师和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名选手，同一学校最多报2支队伍参赛，指导教师须为本校专、兼职教师。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.参赛对象为中等职业学校或五年制高职一至三年级（含三年级）全日制在籍学生。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七、参赛守则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（一）严格遵守技能竞赛规则、技能竞赛纪律和安全操作规程，尊重裁判和赛场工作人员，自觉维护赛场秩序，听从工作人员的指挥。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（二）参赛选手须按各相关项目竞赛的通知要求，准时到达比赛场地等候，逾期不到者按自动弃权处理。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（三）参赛选手检录进入比赛场地，须佩带参赛证并出示学生证及身份证，着装应符合相关项目的比赛要求。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（四）不得使用任何通讯工具，不得携带书籍、参考资料，比赛期间如发现选手携带通讯工具或违禁资料进入赛场，按作弊处理。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（五）竞赛过程中不准互相交谈，不准偷窥、暗示，不得擅自离开赛场。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（六）竞赛完成后必须按工作人员要求迅速离开赛场，不得在赛场内滞留。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（七）到达竞赛结束时间，应立即停止操作，不得拖延。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（八）爱护竞赛场所的设备、仪器等，不得人为损坏竞赛用的仪器设备。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（九）如对裁判员或执裁过程有异议，应在2小时内由领队以书面形式向大赛执委会正式提出。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八、参赛须知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（一）比赛以学校为单位组队参加，每所学校限报2个参赛队,每队1名学生，1名领队及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名指导教师组成。参赛选手必须为中等职业学校全日制在籍学生，不得弄虚作假。在资格审查中一旦发现问题，将取消其报名资格；在比赛过程中发现问题，将取消其比赛资格；在比赛后发现问题，将取消其比赛成绩，收回获奖证书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）材料不全或逾期报送将不予受理。参赛选手和指导教师报名经确认后不得随意更换。若比赛现场发现参赛选手与报名表不符，将取消参赛资格。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）参赛选手须携带身份证、学生证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或学籍证明）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参加比赛，无上述证件者不得参赛。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本次选拔赛不收取报名费与参赛费，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承办方统一安排食宿，但食宿费用及交通费参赛方自理。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）各参赛单位必须为参赛选手、领队及指导教师上意外伤害保险和医疗保险。大赛期间发生的医疗费用，由各参赛队自行解决。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九、联系方式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报名处：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迁西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职教中心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实训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许新 13582539154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 xml:space="preserve">E-mail: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374076195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qq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.com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为方便沟通联系请各参赛队老师提前加入大赛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群：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  <w:drawing>
          <wp:inline distT="0" distB="0" distL="114300" distR="114300">
            <wp:extent cx="3486785" cy="2907030"/>
            <wp:effectExtent l="0" t="0" r="18415" b="7620"/>
            <wp:docPr id="4" name="图片 4" descr="91140639d26c2fae47dc915885167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140639d26c2fae47dc915885167e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green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年唐山市职业院校技能大赛（中职组）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农机检修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赛项规程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.唐山市职业院校技能大赛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农机检修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赛项基本信息回执表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选手电子照片表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唐山市教育局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年6月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00" w:lineRule="auto"/>
        <w:ind w:right="517" w:firstLine="559"/>
        <w:rPr>
          <w:rFonts w:hint="default" w:ascii="Times New Roman" w:hAnsi="Times New Roman" w:eastAsia="仿宋" w:cs="Times New Roman"/>
          <w:spacing w:val="-10"/>
          <w:sz w:val="28"/>
          <w:szCs w:val="28"/>
          <w:lang w:val="en-US" w:eastAsia="zh-CN"/>
        </w:rPr>
      </w:pPr>
    </w:p>
    <w:sectPr>
      <w:headerReference r:id="rId3" w:type="default"/>
      <w:pgSz w:w="11910" w:h="16840"/>
      <w:pgMar w:top="1134" w:right="1417" w:bottom="1134" w:left="1417" w:header="90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JP Blac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NTc0ZGNjMmE4MzUxZmM5MTdkNWIyOTljNTIyNDEifQ=="/>
  </w:docVars>
  <w:rsids>
    <w:rsidRoot w:val="00000000"/>
    <w:rsid w:val="04553F6E"/>
    <w:rsid w:val="04A42800"/>
    <w:rsid w:val="05D36272"/>
    <w:rsid w:val="06545417"/>
    <w:rsid w:val="06A42287"/>
    <w:rsid w:val="0CD36535"/>
    <w:rsid w:val="118C4D48"/>
    <w:rsid w:val="12D22E51"/>
    <w:rsid w:val="1758054C"/>
    <w:rsid w:val="19162F4C"/>
    <w:rsid w:val="1B3C77DE"/>
    <w:rsid w:val="1B3F7C2F"/>
    <w:rsid w:val="1C7A1CD4"/>
    <w:rsid w:val="22BB36DF"/>
    <w:rsid w:val="25E42F4C"/>
    <w:rsid w:val="29D9614F"/>
    <w:rsid w:val="2D4855DB"/>
    <w:rsid w:val="2F604549"/>
    <w:rsid w:val="30D17AED"/>
    <w:rsid w:val="311346E6"/>
    <w:rsid w:val="33700E64"/>
    <w:rsid w:val="34935E6B"/>
    <w:rsid w:val="384937F4"/>
    <w:rsid w:val="389F4C80"/>
    <w:rsid w:val="3A290B99"/>
    <w:rsid w:val="3CAD076F"/>
    <w:rsid w:val="3E562F1D"/>
    <w:rsid w:val="431C742A"/>
    <w:rsid w:val="43F839F3"/>
    <w:rsid w:val="44C34781"/>
    <w:rsid w:val="454229BD"/>
    <w:rsid w:val="4E9E42B0"/>
    <w:rsid w:val="549F7EBB"/>
    <w:rsid w:val="57983560"/>
    <w:rsid w:val="61E94C77"/>
    <w:rsid w:val="6486074F"/>
    <w:rsid w:val="650E76C9"/>
    <w:rsid w:val="695D23C7"/>
    <w:rsid w:val="7372081D"/>
    <w:rsid w:val="73BE7786"/>
    <w:rsid w:val="73C44DA5"/>
    <w:rsid w:val="78650950"/>
    <w:rsid w:val="78BF2A8D"/>
    <w:rsid w:val="78FB3062"/>
    <w:rsid w:val="79A8143C"/>
    <w:rsid w:val="7DBA4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880"/>
      <w:outlineLvl w:val="0"/>
    </w:pPr>
    <w:rPr>
      <w:rFonts w:ascii="Noto Sans CJK JP Medium" w:hAnsi="Noto Sans CJK JP Medium" w:eastAsia="Noto Sans CJK JP Medium" w:cs="Noto Sans CJK JP Medium"/>
      <w:sz w:val="30"/>
      <w:szCs w:val="3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qFormat/>
    <w:uiPriority w:val="99"/>
    <w:pPr>
      <w:autoSpaceDE/>
      <w:autoSpaceDN/>
    </w:pPr>
    <w:rPr>
      <w:rFonts w:ascii="Calibri" w:hAnsi="Calibri" w:eastAsia="宋体" w:cs="Times New Roman"/>
      <w:kern w:val="2"/>
      <w:szCs w:val="20"/>
    </w:rPr>
  </w:style>
  <w:style w:type="paragraph" w:styleId="7">
    <w:name w:val="Body Text"/>
    <w:basedOn w:val="1"/>
    <w:qFormat/>
    <w:uiPriority w:val="1"/>
    <w:pPr>
      <w:ind w:left="280"/>
    </w:pPr>
    <w:rPr>
      <w:sz w:val="28"/>
      <w:szCs w:val="2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10"/>
    <w:pPr>
      <w:spacing w:line="610" w:lineRule="exact"/>
      <w:ind w:right="235"/>
      <w:jc w:val="center"/>
    </w:pPr>
    <w:rPr>
      <w:rFonts w:ascii="Noto Sans CJK JP Medium" w:hAnsi="Noto Sans CJK JP Medium" w:eastAsia="Noto Sans CJK JP Medium" w:cs="Noto Sans CJK JP Medium"/>
      <w:sz w:val="36"/>
      <w:szCs w:val="36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1"/>
    <w:pPr>
      <w:ind w:left="280" w:firstLine="559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批注文字 字符"/>
    <w:basedOn w:val="13"/>
    <w:link w:val="6"/>
    <w:qFormat/>
    <w:uiPriority w:val="99"/>
    <w:rPr>
      <w:rFonts w:ascii="Calibri" w:hAnsi="Calibri" w:eastAsia="宋体" w:cs="Times New Roman"/>
      <w:kern w:val="2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2075</Words>
  <Characters>2264</Characters>
  <Lines>56</Lines>
  <Paragraphs>15</Paragraphs>
  <TotalTime>1</TotalTime>
  <ScaleCrop>false</ScaleCrop>
  <LinksUpToDate>false</LinksUpToDate>
  <CharactersWithSpaces>2271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2022-04-02T10:04:00Z</dcterms:created>
  <dc:creator>RZ</dc:creator>
  <cp:lastModifiedBy>AKA磊</cp:lastModifiedBy>
  <cp:lastPrinted>2024-06-21T00:42:00Z</cp:lastPrinted>
  <dcterms:modified xsi:type="dcterms:W3CDTF">2025-06-12T10:13:07Z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2021-04-07T00:00:00Z</vt:filetime>
  </property>
  <property fmtid="{D5CDD505-2E9C-101B-9397-08002B2CF9AE}" pid="5" name="KSOProductBuildVer">
    <vt:lpwstr>2052-11.8.2.8875</vt:lpwstr>
  </property>
  <property fmtid="{D5CDD505-2E9C-101B-9397-08002B2CF9AE}" pid="6" name="ICV">
    <vt:lpwstr>669CE1CDDD684E8C8D60B3ABE681A478_13</vt:lpwstr>
  </property>
  <property fmtid="{D5CDD505-2E9C-101B-9397-08002B2CF9AE}" pid="7" name="KSOTemplateDocerSaveRecord">
    <vt:lpwstr>eyJoZGlkIjoiYmZjYTc2MzkwMzg5YmI4MzI0MzJmZjQ5YTY4NTc5ZmEiLCJ1c2VySWQiOiIzMTEyNjM5MTMifQ==</vt:lpwstr>
  </property>
</Properties>
</file>