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5A4">
      <w:pPr>
        <w:jc w:val="center"/>
        <w:rPr>
          <w:sz w:val="52"/>
          <w:szCs w:val="52"/>
        </w:rPr>
      </w:pPr>
    </w:p>
    <w:p w14:paraId="2631BE2A">
      <w:pPr>
        <w:jc w:val="center"/>
        <w:rPr>
          <w:sz w:val="52"/>
          <w:szCs w:val="52"/>
        </w:rPr>
      </w:pPr>
    </w:p>
    <w:p w14:paraId="6EDE9A76">
      <w:pPr>
        <w:jc w:val="center"/>
        <w:rPr>
          <w:sz w:val="52"/>
          <w:szCs w:val="52"/>
        </w:rPr>
      </w:pPr>
    </w:p>
    <w:p w14:paraId="6A80174A">
      <w:pPr>
        <w:jc w:val="center"/>
        <w:rPr>
          <w:sz w:val="52"/>
          <w:szCs w:val="52"/>
        </w:rPr>
      </w:pPr>
      <w:r>
        <w:rPr>
          <w:sz w:val="52"/>
          <w:szCs w:val="52"/>
        </w:rPr>
        <w:t>202</w:t>
      </w:r>
      <w:r>
        <w:rPr>
          <w:rFonts w:hint="eastAsia"/>
          <w:sz w:val="52"/>
          <w:szCs w:val="52"/>
        </w:rPr>
        <w:t>5</w:t>
      </w:r>
      <w:r>
        <w:rPr>
          <w:sz w:val="52"/>
          <w:szCs w:val="52"/>
        </w:rPr>
        <w:t xml:space="preserve"> 年</w:t>
      </w:r>
      <w:r>
        <w:rPr>
          <w:rFonts w:hint="eastAsia"/>
          <w:sz w:val="52"/>
          <w:szCs w:val="52"/>
        </w:rPr>
        <w:t>唐山</w:t>
      </w:r>
      <w:r>
        <w:rPr>
          <w:sz w:val="52"/>
          <w:szCs w:val="52"/>
        </w:rPr>
        <w:t>市</w:t>
      </w:r>
      <w:r>
        <w:rPr>
          <w:rFonts w:hint="eastAsia"/>
          <w:sz w:val="52"/>
          <w:szCs w:val="52"/>
        </w:rPr>
        <w:t>起重机</w:t>
      </w:r>
      <w:r>
        <w:rPr>
          <w:rFonts w:hint="eastAsia"/>
          <w:sz w:val="52"/>
          <w:szCs w:val="52"/>
          <w:lang w:eastAsia="zh-CN"/>
        </w:rPr>
        <w:t>操作</w:t>
      </w:r>
      <w:bookmarkStart w:id="2" w:name="_GoBack"/>
      <w:bookmarkEnd w:id="2"/>
      <w:r>
        <w:rPr>
          <w:sz w:val="52"/>
          <w:szCs w:val="52"/>
        </w:rPr>
        <w:t>技能赛项（中职组）技能大赛</w:t>
      </w:r>
    </w:p>
    <w:p w14:paraId="23D53EC6">
      <w:pPr>
        <w:rPr>
          <w:sz w:val="52"/>
          <w:szCs w:val="52"/>
        </w:rPr>
      </w:pPr>
    </w:p>
    <w:p w14:paraId="7C5D33EB"/>
    <w:p w14:paraId="501A31FA"/>
    <w:p w14:paraId="0F7D8E7D">
      <w:pPr>
        <w:rPr>
          <w:sz w:val="52"/>
          <w:szCs w:val="52"/>
        </w:rPr>
      </w:pPr>
    </w:p>
    <w:p w14:paraId="237D11FE">
      <w:pPr>
        <w:jc w:val="center"/>
        <w:rPr>
          <w:sz w:val="52"/>
          <w:szCs w:val="52"/>
        </w:rPr>
      </w:pPr>
      <w:r>
        <w:rPr>
          <w:sz w:val="52"/>
          <w:szCs w:val="52"/>
        </w:rPr>
        <w:t>竞</w:t>
      </w:r>
    </w:p>
    <w:p w14:paraId="30F48116">
      <w:pPr>
        <w:jc w:val="center"/>
        <w:rPr>
          <w:sz w:val="52"/>
          <w:szCs w:val="52"/>
        </w:rPr>
      </w:pPr>
      <w:r>
        <w:rPr>
          <w:sz w:val="52"/>
          <w:szCs w:val="52"/>
        </w:rPr>
        <w:t>赛</w:t>
      </w:r>
    </w:p>
    <w:p w14:paraId="63378B5A">
      <w:pPr>
        <w:jc w:val="center"/>
        <w:rPr>
          <w:sz w:val="52"/>
          <w:szCs w:val="52"/>
        </w:rPr>
      </w:pPr>
      <w:r>
        <w:rPr>
          <w:sz w:val="52"/>
          <w:szCs w:val="52"/>
        </w:rPr>
        <w:t>规</w:t>
      </w:r>
    </w:p>
    <w:p w14:paraId="6936F38E">
      <w:pPr>
        <w:jc w:val="center"/>
        <w:rPr>
          <w:sz w:val="52"/>
          <w:szCs w:val="52"/>
        </w:rPr>
      </w:pPr>
      <w:r>
        <w:rPr>
          <w:sz w:val="52"/>
          <w:szCs w:val="52"/>
        </w:rPr>
        <w:t>程</w:t>
      </w:r>
    </w:p>
    <w:p w14:paraId="0AE9D2D8">
      <w:pPr>
        <w:rPr>
          <w:sz w:val="52"/>
          <w:szCs w:val="52"/>
        </w:rPr>
      </w:pPr>
    </w:p>
    <w:p w14:paraId="6C50AC70"/>
    <w:p w14:paraId="7C7FFB43"/>
    <w:p w14:paraId="2CB40569"/>
    <w:p w14:paraId="354AB6AE"/>
    <w:p w14:paraId="67F129A9"/>
    <w:p w14:paraId="19157F7E"/>
    <w:p w14:paraId="7B7AC2C4">
      <w:pPr>
        <w:rPr>
          <w:sz w:val="28"/>
          <w:szCs w:val="28"/>
        </w:rPr>
      </w:pPr>
    </w:p>
    <w:p w14:paraId="6DBF30E1">
      <w:pPr>
        <w:rPr>
          <w:sz w:val="28"/>
          <w:szCs w:val="28"/>
        </w:rPr>
      </w:pPr>
      <w:r>
        <w:rPr>
          <w:sz w:val="28"/>
          <w:szCs w:val="28"/>
        </w:rPr>
        <w:t>一、赛项名称</w:t>
      </w:r>
    </w:p>
    <w:p w14:paraId="57084006">
      <w:pPr>
        <w:rPr>
          <w:sz w:val="28"/>
          <w:szCs w:val="28"/>
        </w:rPr>
      </w:pPr>
      <w:r>
        <w:rPr>
          <w:sz w:val="28"/>
          <w:szCs w:val="28"/>
        </w:rPr>
        <w:t xml:space="preserve"> 赛项名称：202</w:t>
      </w:r>
      <w:r>
        <w:rPr>
          <w:rFonts w:hint="eastAsia"/>
          <w:sz w:val="28"/>
          <w:szCs w:val="28"/>
        </w:rPr>
        <w:t>5</w:t>
      </w:r>
      <w:r>
        <w:rPr>
          <w:sz w:val="28"/>
          <w:szCs w:val="28"/>
        </w:rPr>
        <w:t>年</w:t>
      </w:r>
      <w:r>
        <w:rPr>
          <w:rFonts w:hint="eastAsia"/>
          <w:sz w:val="28"/>
          <w:szCs w:val="28"/>
        </w:rPr>
        <w:t>唐山</w:t>
      </w:r>
      <w:r>
        <w:rPr>
          <w:sz w:val="28"/>
          <w:szCs w:val="28"/>
        </w:rPr>
        <w:t>市</w:t>
      </w:r>
      <w:bookmarkStart w:id="0" w:name="OLE_LINK6"/>
      <w:bookmarkStart w:id="1" w:name="OLE_LINK7"/>
      <w:r>
        <w:rPr>
          <w:rFonts w:hint="eastAsia"/>
          <w:sz w:val="28"/>
          <w:szCs w:val="28"/>
        </w:rPr>
        <w:t>起重机</w:t>
      </w:r>
      <w:r>
        <w:rPr>
          <w:sz w:val="28"/>
          <w:szCs w:val="28"/>
        </w:rPr>
        <w:t>操作</w:t>
      </w:r>
      <w:bookmarkEnd w:id="0"/>
      <w:bookmarkEnd w:id="1"/>
      <w:r>
        <w:rPr>
          <w:sz w:val="28"/>
          <w:szCs w:val="28"/>
        </w:rPr>
        <w:t>技能赛项（中职组）技能大赛</w:t>
      </w:r>
    </w:p>
    <w:p w14:paraId="5D8E50B4">
      <w:pPr>
        <w:rPr>
          <w:sz w:val="28"/>
          <w:szCs w:val="28"/>
        </w:rPr>
      </w:pPr>
      <w:r>
        <w:rPr>
          <w:sz w:val="28"/>
          <w:szCs w:val="28"/>
        </w:rPr>
        <w:t xml:space="preserve"> 赛项组别：中职组 </w:t>
      </w:r>
    </w:p>
    <w:p w14:paraId="448C3C24">
      <w:pPr>
        <w:rPr>
          <w:sz w:val="28"/>
          <w:szCs w:val="28"/>
        </w:rPr>
      </w:pPr>
      <w:r>
        <w:rPr>
          <w:sz w:val="28"/>
          <w:szCs w:val="28"/>
        </w:rPr>
        <w:t xml:space="preserve">二、竞赛项目 </w:t>
      </w:r>
    </w:p>
    <w:p w14:paraId="7EE26B6B">
      <w:pPr>
        <w:rPr>
          <w:sz w:val="28"/>
          <w:szCs w:val="28"/>
        </w:rPr>
      </w:pPr>
      <w:r>
        <w:rPr>
          <w:rFonts w:hint="eastAsia"/>
          <w:sz w:val="28"/>
          <w:szCs w:val="28"/>
        </w:rPr>
        <w:t>起重机操作</w:t>
      </w:r>
      <w:r>
        <w:rPr>
          <w:sz w:val="28"/>
          <w:szCs w:val="28"/>
        </w:rPr>
        <w:t xml:space="preserve">技能 </w:t>
      </w:r>
    </w:p>
    <w:p w14:paraId="60F54C8C">
      <w:pPr>
        <w:rPr>
          <w:sz w:val="28"/>
          <w:szCs w:val="28"/>
        </w:rPr>
      </w:pPr>
      <w:r>
        <w:rPr>
          <w:sz w:val="28"/>
          <w:szCs w:val="28"/>
        </w:rPr>
        <w:t>三、竞赛内容及流程说明</w:t>
      </w:r>
    </w:p>
    <w:p w14:paraId="390BBA26">
      <w:pPr>
        <w:rPr>
          <w:sz w:val="28"/>
          <w:szCs w:val="28"/>
        </w:rPr>
      </w:pPr>
      <w:r>
        <w:rPr>
          <w:sz w:val="28"/>
          <w:szCs w:val="28"/>
        </w:rPr>
        <w:t>项目：</w:t>
      </w:r>
      <w:r>
        <w:rPr>
          <w:rFonts w:hint="eastAsia"/>
          <w:sz w:val="28"/>
          <w:szCs w:val="28"/>
        </w:rPr>
        <w:t>起重机操作</w:t>
      </w:r>
      <w:r>
        <w:rPr>
          <w:sz w:val="28"/>
          <w:szCs w:val="28"/>
        </w:rPr>
        <w:t>技能</w:t>
      </w:r>
    </w:p>
    <w:p w14:paraId="3E44A3E2">
      <w:pPr>
        <w:rPr>
          <w:sz w:val="28"/>
          <w:szCs w:val="28"/>
        </w:rPr>
      </w:pPr>
      <w:r>
        <w:rPr>
          <w:sz w:val="28"/>
          <w:szCs w:val="28"/>
        </w:rPr>
        <w:t xml:space="preserve"> （一）竞赛内容 </w:t>
      </w:r>
    </w:p>
    <w:p w14:paraId="0CEB1434">
      <w:pPr>
        <w:rPr>
          <w:sz w:val="28"/>
          <w:szCs w:val="28"/>
        </w:rPr>
      </w:pPr>
      <w:r>
        <w:rPr>
          <w:rFonts w:hint="eastAsia"/>
          <w:sz w:val="28"/>
          <w:szCs w:val="28"/>
        </w:rPr>
        <w:t>起重机操作</w:t>
      </w:r>
      <w:r>
        <w:rPr>
          <w:sz w:val="28"/>
          <w:szCs w:val="28"/>
        </w:rPr>
        <w:t>技能赛项竞赛为单人赛，竞赛考核形式</w:t>
      </w:r>
      <w:r>
        <w:rPr>
          <w:rFonts w:hint="eastAsia"/>
          <w:sz w:val="28"/>
          <w:szCs w:val="28"/>
        </w:rPr>
        <w:t>起重机操作</w:t>
      </w:r>
      <w:r>
        <w:rPr>
          <w:sz w:val="28"/>
          <w:szCs w:val="28"/>
        </w:rPr>
        <w:t>技能实操内容。实操阶段参赛选手根据比赛规定的线路和作业单完成各项操作，主要操作内容包括：起步前准备、</w:t>
      </w:r>
      <w:r>
        <w:rPr>
          <w:rFonts w:hint="eastAsia"/>
          <w:sz w:val="28"/>
          <w:szCs w:val="28"/>
        </w:rPr>
        <w:t>起吊</w:t>
      </w:r>
      <w:r>
        <w:rPr>
          <w:sz w:val="28"/>
          <w:szCs w:val="28"/>
        </w:rPr>
        <w:t xml:space="preserve">货物、货物移库、入库停车等。 </w:t>
      </w:r>
    </w:p>
    <w:p w14:paraId="5A27FE03">
      <w:pPr>
        <w:rPr>
          <w:sz w:val="28"/>
          <w:szCs w:val="28"/>
        </w:rPr>
      </w:pPr>
      <w:r>
        <w:rPr>
          <w:sz w:val="28"/>
          <w:szCs w:val="28"/>
        </w:rPr>
        <w:t xml:space="preserve">（二）操作流程 </w:t>
      </w:r>
    </w:p>
    <w:p w14:paraId="60B97556">
      <w:pPr>
        <w:rPr>
          <w:sz w:val="28"/>
          <w:szCs w:val="28"/>
        </w:rPr>
      </w:pPr>
      <w:r>
        <w:rPr>
          <w:rFonts w:hint="eastAsia"/>
          <w:sz w:val="28"/>
          <w:szCs w:val="28"/>
        </w:rPr>
        <w:t>1、现场作业识别能力，主要认知结构组成及安全防护装置等</w:t>
      </w:r>
    </w:p>
    <w:p w14:paraId="66177AA9">
      <w:pPr>
        <w:rPr>
          <w:sz w:val="28"/>
          <w:szCs w:val="28"/>
        </w:rPr>
      </w:pPr>
      <w:r>
        <w:rPr>
          <w:rFonts w:hint="eastAsia"/>
          <w:sz w:val="28"/>
          <w:szCs w:val="28"/>
        </w:rPr>
        <w:t>2、基本操作能力，天车运行启动，有A点吊起货物水平移动到B点，吊物由B点水平移动到C点，垂直降下吊物，落点准确。</w:t>
      </w:r>
    </w:p>
    <w:p w14:paraId="74802E78">
      <w:pPr>
        <w:rPr>
          <w:sz w:val="28"/>
          <w:szCs w:val="28"/>
        </w:rPr>
      </w:pPr>
      <w:r>
        <w:rPr>
          <w:rFonts w:hint="eastAsia"/>
          <w:sz w:val="28"/>
          <w:szCs w:val="28"/>
        </w:rPr>
        <w:t>3、应急处置能力与故障排除，设置1-2个故障进行排除</w:t>
      </w:r>
    </w:p>
    <w:p w14:paraId="09F3861C">
      <w:pPr>
        <w:rPr>
          <w:sz w:val="28"/>
          <w:szCs w:val="28"/>
        </w:rPr>
      </w:pPr>
      <w:r>
        <w:rPr>
          <w:sz w:val="28"/>
          <w:szCs w:val="28"/>
        </w:rPr>
        <w:t>（三）场地示意图</w:t>
      </w:r>
    </w:p>
    <w:p w14:paraId="37713D84">
      <w:pPr>
        <w:rPr>
          <w:sz w:val="28"/>
          <w:szCs w:val="28"/>
        </w:rPr>
      </w:pPr>
    </w:p>
    <w:p w14:paraId="4EF87C86">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97790</wp:posOffset>
                </wp:positionV>
                <wp:extent cx="457200" cy="457200"/>
                <wp:effectExtent l="0" t="0" r="19050" b="19050"/>
                <wp:wrapNone/>
                <wp:docPr id="2" name="流程图: 联系 2"/>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0B3DDC">
                            <w:pPr>
                              <w:jc w:val="center"/>
                            </w:pPr>
                            <w:r>
                              <w:rPr>
                                <w:rFonts w:hint="eastAsia"/>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8.65pt;margin-top:7.7pt;height:36pt;width:36pt;z-index:251660288;v-text-anchor:middle;mso-width-relative:page;mso-height-relative:page;" fillcolor="#4F81BD [3204]" filled="t" stroked="t" coordsize="21600,21600" o:gfxdata="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X7WL3Z&#10;AAAACQEAAA8AAAAAAAAAAQAgAAAAIgAAAGRycy9kb3ducmV2LnhtbFBLAQIUABQAAAAIAIdO4kDT&#10;dZFzkQIAACEFAAAOAAAAAAAAAAEAIAAAACgBAABkcnMvZTJvRG9jLnhtbFBLBQYAAAAABgAGAFkB&#10;AAArBgAAAAA=&#10;">
                <v:fill on="t" focussize="0,0"/>
                <v:stroke weight="2pt" color="#385D8A [3204]" joinstyle="round"/>
                <v:imagedata o:title=""/>
                <o:lock v:ext="edit" aspectratio="f"/>
                <v:textbox>
                  <w:txbxContent>
                    <w:p w14:paraId="120B3DDC">
                      <w:pPr>
                        <w:jc w:val="center"/>
                      </w:pPr>
                      <w:r>
                        <w:rPr>
                          <w:rFonts w:hint="eastAsia"/>
                        </w:rPr>
                        <w:t>B</w:t>
                      </w:r>
                    </w:p>
                  </w:txbxContent>
                </v:textbox>
              </v:shape>
            </w:pict>
          </mc:Fallback>
        </mc:AlternateContent>
      </w:r>
    </w:p>
    <w:p w14:paraId="422FB59F">
      <w:pPr>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326390</wp:posOffset>
                </wp:positionV>
                <wp:extent cx="457200" cy="457200"/>
                <wp:effectExtent l="0" t="0" r="19050" b="19050"/>
                <wp:wrapNone/>
                <wp:docPr id="3" name="流程图: 联系 3"/>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2FC59F">
                            <w:pPr>
                              <w:jc w:val="center"/>
                            </w:pPr>
                            <w:r>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23.65pt;margin-top:25.7pt;height:36pt;width:36pt;z-index:251661312;v-text-anchor:middle;mso-width-relative:page;mso-height-relative:page;" fillcolor="#4F81BD [3204]" filled="t" stroked="t" coordsize="21600,21600" o:gfxdata="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BN8&#10;GtoAAAAKAQAADwAAAAAAAAABACAAAAAiAAAAZHJzL2Rvd25yZXYueG1sUEsBAhQAFAAAAAgAh07i&#10;QC4t7r+SAgAAIQUAAA4AAAAAAAAAAQAgAAAAKQEAAGRycy9lMm9Eb2MueG1sUEsFBgAAAAAGAAYA&#10;WQEAAC0GAAAAAA==&#10;">
                <v:fill on="t" focussize="0,0"/>
                <v:stroke weight="2pt" color="#385D8A [3204]" joinstyle="round"/>
                <v:imagedata o:title=""/>
                <o:lock v:ext="edit" aspectratio="f"/>
                <v:textbox>
                  <w:txbxContent>
                    <w:p w14:paraId="192FC59F">
                      <w:pPr>
                        <w:jc w:val="center"/>
                      </w:pPr>
                      <w:r>
                        <w:rPr>
                          <w:rFonts w:hint="eastAsia"/>
                        </w:rPr>
                        <w:t>A</w:t>
                      </w:r>
                    </w:p>
                  </w:txbxContent>
                </v:textbox>
              </v:shape>
            </w:pict>
          </mc:Fallback>
        </mc:AlternateContent>
      </w:r>
    </w:p>
    <w:p w14:paraId="6534C8D1">
      <w:pPr>
        <w:rPr>
          <w:sz w:val="28"/>
          <w:szCs w:val="28"/>
        </w:rPr>
      </w:pPr>
    </w:p>
    <w:p w14:paraId="7D61757F">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1186815</wp:posOffset>
                </wp:positionH>
                <wp:positionV relativeFrom="paragraph">
                  <wp:posOffset>166370</wp:posOffset>
                </wp:positionV>
                <wp:extent cx="457200" cy="457200"/>
                <wp:effectExtent l="0" t="0" r="19050" b="19050"/>
                <wp:wrapNone/>
                <wp:docPr id="1" name="流程图: 联系 1"/>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9C96CA">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93.45pt;margin-top:13.1pt;height:36pt;width:36pt;z-index:251659264;v-text-anchor:middle;mso-width-relative:page;mso-height-relative:page;" fillcolor="#4F81BD [3204]" filled="t" stroked="t" coordsize="21600,21600" o:gfxdata="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YhvXx2AAA&#10;AAkBAAAPAAAAAAAAAAEAIAAAACIAAABkcnMvZG93bnJldi54bWxQSwECFAAUAAAACACHTuJAlZph&#10;/JACAAAhBQAADgAAAAAAAAABACAAAAAnAQAAZHJzL2Uyb0RvYy54bWxQSwUGAAAAAAYABgBZAQAA&#10;KQYAAAAA&#10;">
                <v:fill on="t" focussize="0,0"/>
                <v:stroke weight="2pt" color="#385D8A [3204]" joinstyle="round"/>
                <v:imagedata o:title=""/>
                <o:lock v:ext="edit" aspectratio="f"/>
                <v:textbox>
                  <w:txbxContent>
                    <w:p w14:paraId="6B9C96CA">
                      <w:pPr>
                        <w:jc w:val="center"/>
                      </w:pPr>
                      <w:r>
                        <w:rPr>
                          <w:rFonts w:hint="eastAsia"/>
                        </w:rPr>
                        <w:t>C</w:t>
                      </w:r>
                    </w:p>
                  </w:txbxContent>
                </v:textbox>
              </v:shape>
            </w:pict>
          </mc:Fallback>
        </mc:AlternateContent>
      </w:r>
    </w:p>
    <w:p w14:paraId="7805FFCE">
      <w:pPr>
        <w:rPr>
          <w:sz w:val="28"/>
          <w:szCs w:val="28"/>
        </w:rPr>
      </w:pPr>
    </w:p>
    <w:p w14:paraId="10FCAA47">
      <w:pPr>
        <w:rPr>
          <w:sz w:val="28"/>
          <w:szCs w:val="28"/>
        </w:rPr>
      </w:pPr>
      <w:r>
        <w:rPr>
          <w:sz w:val="28"/>
          <w:szCs w:val="28"/>
        </w:rPr>
        <w:t xml:space="preserve">（四）设备与设施 </w:t>
      </w:r>
    </w:p>
    <w:p w14:paraId="684EEB90">
      <w:pPr>
        <w:rPr>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820"/>
        <w:gridCol w:w="1893"/>
      </w:tblGrid>
      <w:tr w14:paraId="27AB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90D711">
            <w:r>
              <w:t>名称</w:t>
            </w:r>
          </w:p>
        </w:tc>
        <w:tc>
          <w:tcPr>
            <w:tcW w:w="4820" w:type="dxa"/>
          </w:tcPr>
          <w:p w14:paraId="2B4EDDFE">
            <w:r>
              <w:t>规格要求</w:t>
            </w:r>
          </w:p>
        </w:tc>
        <w:tc>
          <w:tcPr>
            <w:tcW w:w="1893" w:type="dxa"/>
          </w:tcPr>
          <w:p w14:paraId="7286274F">
            <w:r>
              <w:t>数量</w:t>
            </w:r>
          </w:p>
        </w:tc>
      </w:tr>
      <w:tr w14:paraId="4C4A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2C2AED0">
            <w:r>
              <w:rPr>
                <w:rFonts w:hint="eastAsia"/>
              </w:rPr>
              <w:t>天车</w:t>
            </w:r>
          </w:p>
        </w:tc>
        <w:tc>
          <w:tcPr>
            <w:tcW w:w="4820" w:type="dxa"/>
          </w:tcPr>
          <w:p w14:paraId="0665B3CC">
            <w:pPr>
              <w:rPr>
                <w:color w:val="000000"/>
                <w:szCs w:val="21"/>
              </w:rPr>
            </w:pPr>
            <w:r>
              <w:rPr>
                <w:rFonts w:hint="eastAsia"/>
                <w:color w:val="000000"/>
                <w:szCs w:val="21"/>
              </w:rPr>
              <w:t>双梁桥式起重机</w:t>
            </w:r>
          </w:p>
          <w:p w14:paraId="12937C17">
            <w:r>
              <w:rPr>
                <w:rFonts w:hint="eastAsia"/>
                <w:color w:val="000000"/>
                <w:sz w:val="18"/>
                <w:szCs w:val="18"/>
              </w:rPr>
              <w:t>1、起重量：5t； 2、跨度：10.5m； 3、起升高度：4m； 4、速度：起升速度：~13m/min； 小车运行速度：20m/min； 大车运行速度：20m/min； 5、起升减速机：ZQ500-48.57-3CA 起升电机：YZR160L-6-11KW 6、工作级别：A5 7、起重机最大宽度：≤5000mm； 8、起重机整机高度≤1600mm； 9、大车缓冲器高度：400mm； 10、司机室操作，司机室平台入口为端入； 11、大车轨道型号：P24 12、大车供电电源：AC380V 50Hz</w:t>
            </w:r>
          </w:p>
        </w:tc>
        <w:tc>
          <w:tcPr>
            <w:tcW w:w="1893" w:type="dxa"/>
          </w:tcPr>
          <w:p w14:paraId="40B639F1">
            <w:r>
              <w:rPr>
                <w:rFonts w:hint="eastAsia"/>
              </w:rPr>
              <w:t>1</w:t>
            </w:r>
          </w:p>
        </w:tc>
      </w:tr>
      <w:tr w14:paraId="1EAD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A3B9ADF">
            <w:r>
              <w:t>货物</w:t>
            </w:r>
          </w:p>
        </w:tc>
        <w:tc>
          <w:tcPr>
            <w:tcW w:w="4820" w:type="dxa"/>
          </w:tcPr>
          <w:p w14:paraId="4C32243A">
            <w:r>
              <w:t>标准</w:t>
            </w:r>
            <w:r>
              <w:rPr>
                <w:rFonts w:hint="eastAsia"/>
              </w:rPr>
              <w:t>300升油桶</w:t>
            </w:r>
          </w:p>
        </w:tc>
        <w:tc>
          <w:tcPr>
            <w:tcW w:w="1893" w:type="dxa"/>
          </w:tcPr>
          <w:p w14:paraId="143013F6">
            <w:r>
              <w:rPr>
                <w:rFonts w:hint="eastAsia"/>
              </w:rPr>
              <w:t>1个</w:t>
            </w:r>
          </w:p>
        </w:tc>
      </w:tr>
    </w:tbl>
    <w:p w14:paraId="27F83D35">
      <w:pPr>
        <w:rPr>
          <w:sz w:val="28"/>
          <w:szCs w:val="28"/>
        </w:rPr>
      </w:pPr>
      <w:r>
        <w:rPr>
          <w:sz w:val="28"/>
          <w:szCs w:val="28"/>
        </w:rPr>
        <w:t xml:space="preserve">四、竞赛时长及评分标准 </w:t>
      </w:r>
    </w:p>
    <w:p w14:paraId="6E1D1B5E">
      <w:pPr>
        <w:rPr>
          <w:sz w:val="28"/>
          <w:szCs w:val="28"/>
        </w:rPr>
      </w:pPr>
      <w:r>
        <w:rPr>
          <w:sz w:val="28"/>
          <w:szCs w:val="28"/>
        </w:rPr>
        <w:t>（一）竞赛时长及分值占比</w:t>
      </w:r>
    </w:p>
    <w:p w14:paraId="36C34CF9">
      <w:pPr>
        <w:rPr>
          <w:sz w:val="28"/>
          <w:szCs w:val="28"/>
        </w:rPr>
      </w:pPr>
      <w:r>
        <w:rPr>
          <w:rFonts w:hint="eastAsia"/>
          <w:sz w:val="28"/>
          <w:szCs w:val="28"/>
        </w:rPr>
        <w:t>现场</w:t>
      </w:r>
      <w:r>
        <w:rPr>
          <w:sz w:val="28"/>
          <w:szCs w:val="28"/>
        </w:rPr>
        <w:t>指认天车部件、禁止标识等，起重操作技能为单人赛</w:t>
      </w:r>
      <w:r>
        <w:rPr>
          <w:rFonts w:hint="eastAsia"/>
          <w:sz w:val="28"/>
          <w:szCs w:val="28"/>
        </w:rPr>
        <w:t>，</w:t>
      </w:r>
      <w:r>
        <w:rPr>
          <w:sz w:val="28"/>
          <w:szCs w:val="28"/>
        </w:rPr>
        <w:t>实操阶段按要求完成规定的任务，含设置故障排除，每人</w:t>
      </w:r>
      <w:r>
        <w:rPr>
          <w:rFonts w:hint="eastAsia"/>
          <w:sz w:val="28"/>
          <w:szCs w:val="28"/>
        </w:rPr>
        <w:t>10</w:t>
      </w:r>
      <w:r>
        <w:rPr>
          <w:sz w:val="28"/>
          <w:szCs w:val="28"/>
        </w:rPr>
        <w:t>分钟。</w:t>
      </w:r>
    </w:p>
    <w:p w14:paraId="064CCFD5">
      <w:pPr>
        <w:rPr>
          <w:sz w:val="28"/>
          <w:szCs w:val="28"/>
        </w:rPr>
      </w:pPr>
      <w:r>
        <w:rPr>
          <w:sz w:val="28"/>
          <w:szCs w:val="28"/>
        </w:rPr>
        <w:t>（二）评分标准</w:t>
      </w:r>
    </w:p>
    <w:tbl>
      <w:tblPr>
        <w:tblStyle w:val="5"/>
        <w:tblW w:w="9120" w:type="dxa"/>
        <w:tblInd w:w="93" w:type="dxa"/>
        <w:tblLayout w:type="autofit"/>
        <w:tblCellMar>
          <w:top w:w="0" w:type="dxa"/>
          <w:left w:w="108" w:type="dxa"/>
          <w:bottom w:w="0" w:type="dxa"/>
          <w:right w:w="108" w:type="dxa"/>
        </w:tblCellMar>
      </w:tblPr>
      <w:tblGrid>
        <w:gridCol w:w="1400"/>
        <w:gridCol w:w="1500"/>
        <w:gridCol w:w="4940"/>
        <w:gridCol w:w="1280"/>
      </w:tblGrid>
      <w:tr w14:paraId="4AEACE21">
        <w:tblPrEx>
          <w:tblCellMar>
            <w:top w:w="0" w:type="dxa"/>
            <w:left w:w="108" w:type="dxa"/>
            <w:bottom w:w="0" w:type="dxa"/>
            <w:right w:w="108" w:type="dxa"/>
          </w:tblCellMar>
        </w:tblPrEx>
        <w:trPr>
          <w:trHeight w:val="462" w:hRule="atLeast"/>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1FA732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分 类</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BF696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题号及名称</w:t>
            </w:r>
          </w:p>
        </w:tc>
        <w:tc>
          <w:tcPr>
            <w:tcW w:w="4940" w:type="dxa"/>
            <w:tcBorders>
              <w:top w:val="single" w:color="auto" w:sz="4" w:space="0"/>
              <w:left w:val="nil"/>
              <w:bottom w:val="single" w:color="auto" w:sz="4" w:space="0"/>
              <w:right w:val="single" w:color="auto" w:sz="4" w:space="0"/>
            </w:tcBorders>
            <w:shd w:val="clear" w:color="auto" w:fill="auto"/>
            <w:vAlign w:val="center"/>
          </w:tcPr>
          <w:p w14:paraId="1C0F658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考 试 项 目</w:t>
            </w:r>
          </w:p>
        </w:tc>
        <w:tc>
          <w:tcPr>
            <w:tcW w:w="1280" w:type="dxa"/>
            <w:tcBorders>
              <w:top w:val="single" w:color="auto" w:sz="4" w:space="0"/>
              <w:left w:val="nil"/>
              <w:bottom w:val="single" w:color="auto" w:sz="4" w:space="0"/>
              <w:right w:val="single" w:color="auto" w:sz="4" w:space="0"/>
            </w:tcBorders>
            <w:shd w:val="clear" w:color="auto" w:fill="auto"/>
            <w:vAlign w:val="center"/>
          </w:tcPr>
          <w:p w14:paraId="2F21853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操作情况</w:t>
            </w:r>
          </w:p>
        </w:tc>
      </w:tr>
      <w:tr w14:paraId="3BA85C94">
        <w:tblPrEx>
          <w:tblCellMar>
            <w:top w:w="0" w:type="dxa"/>
            <w:left w:w="108" w:type="dxa"/>
            <w:bottom w:w="0" w:type="dxa"/>
            <w:right w:w="108" w:type="dxa"/>
          </w:tblCellMar>
        </w:tblPrEx>
        <w:trPr>
          <w:trHeight w:val="1200" w:hRule="atLeast"/>
        </w:trPr>
        <w:tc>
          <w:tcPr>
            <w:tcW w:w="1400" w:type="dxa"/>
            <w:vMerge w:val="restart"/>
            <w:tcBorders>
              <w:top w:val="nil"/>
              <w:left w:val="single" w:color="auto" w:sz="4" w:space="0"/>
              <w:bottom w:val="single" w:color="auto" w:sz="4" w:space="0"/>
              <w:right w:val="single" w:color="auto" w:sz="4" w:space="0"/>
            </w:tcBorders>
            <w:shd w:val="clear" w:color="auto" w:fill="auto"/>
            <w:vAlign w:val="center"/>
          </w:tcPr>
          <w:p w14:paraId="0BEC4B8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一、现场</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作业识别</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能力   （30分）</w:t>
            </w:r>
          </w:p>
        </w:tc>
        <w:tc>
          <w:tcPr>
            <w:tcW w:w="1500" w:type="dxa"/>
            <w:tcBorders>
              <w:top w:val="nil"/>
              <w:left w:val="nil"/>
              <w:bottom w:val="single" w:color="auto" w:sz="4" w:space="0"/>
              <w:right w:val="single" w:color="auto" w:sz="4" w:space="0"/>
            </w:tcBorders>
            <w:shd w:val="clear" w:color="auto" w:fill="auto"/>
            <w:vAlign w:val="center"/>
          </w:tcPr>
          <w:p w14:paraId="6B537AD3">
            <w:pPr>
              <w:widowControl/>
              <w:jc w:val="center"/>
              <w:rPr>
                <w:rFonts w:ascii="宋体" w:hAnsi="宋体" w:eastAsia="宋体" w:cs="宋体"/>
                <w:kern w:val="0"/>
                <w:sz w:val="24"/>
                <w:szCs w:val="24"/>
              </w:rPr>
            </w:pPr>
            <w:r>
              <w:rPr>
                <w:rFonts w:hint="eastAsia" w:ascii="宋体" w:hAnsi="宋体" w:eastAsia="宋体" w:cs="宋体"/>
                <w:kern w:val="0"/>
                <w:sz w:val="24"/>
                <w:szCs w:val="24"/>
              </w:rPr>
              <w:t>1、主要结构、机构（件）的名称及作用</w:t>
            </w:r>
          </w:p>
        </w:tc>
        <w:tc>
          <w:tcPr>
            <w:tcW w:w="4940" w:type="dxa"/>
            <w:tcBorders>
              <w:top w:val="nil"/>
              <w:left w:val="nil"/>
              <w:bottom w:val="single" w:color="auto" w:sz="4" w:space="0"/>
              <w:right w:val="single" w:color="auto" w:sz="4" w:space="0"/>
            </w:tcBorders>
            <w:shd w:val="clear" w:color="auto" w:fill="auto"/>
            <w:vAlign w:val="center"/>
          </w:tcPr>
          <w:p w14:paraId="24780D6B">
            <w:pPr>
              <w:widowControl/>
              <w:rPr>
                <w:rFonts w:ascii="宋体" w:hAnsi="宋体" w:eastAsia="宋体" w:cs="宋体"/>
                <w:kern w:val="0"/>
                <w:sz w:val="24"/>
                <w:szCs w:val="24"/>
              </w:rPr>
            </w:pPr>
            <w:r>
              <w:rPr>
                <w:rFonts w:hint="eastAsia" w:ascii="宋体" w:hAnsi="宋体" w:eastAsia="宋体" w:cs="宋体"/>
                <w:kern w:val="0"/>
                <w:sz w:val="24"/>
                <w:szCs w:val="24"/>
              </w:rPr>
              <w:t>指出起升机构、运行机构、司机室、主梁、端梁、小车、起升钢丝绳、卷筒、吊钩、滑轮、减速机、联轴器、工作制动器、车轮等。（10分）</w:t>
            </w:r>
          </w:p>
        </w:tc>
        <w:tc>
          <w:tcPr>
            <w:tcW w:w="1280" w:type="dxa"/>
            <w:tcBorders>
              <w:top w:val="nil"/>
              <w:left w:val="nil"/>
              <w:bottom w:val="single" w:color="auto" w:sz="4" w:space="0"/>
              <w:right w:val="single" w:color="auto" w:sz="4" w:space="0"/>
            </w:tcBorders>
            <w:shd w:val="clear" w:color="auto" w:fill="auto"/>
            <w:noWrap/>
            <w:vAlign w:val="center"/>
          </w:tcPr>
          <w:p w14:paraId="2F082C5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7FDFA5E">
        <w:tblPrEx>
          <w:tblCellMar>
            <w:top w:w="0" w:type="dxa"/>
            <w:left w:w="108" w:type="dxa"/>
            <w:bottom w:w="0" w:type="dxa"/>
            <w:right w:w="108" w:type="dxa"/>
          </w:tblCellMar>
        </w:tblPrEx>
        <w:trPr>
          <w:trHeight w:val="1260" w:hRule="atLeast"/>
        </w:trPr>
        <w:tc>
          <w:tcPr>
            <w:tcW w:w="1400" w:type="dxa"/>
            <w:vMerge w:val="continue"/>
            <w:tcBorders>
              <w:top w:val="nil"/>
              <w:left w:val="single" w:color="auto" w:sz="4" w:space="0"/>
              <w:bottom w:val="single" w:color="auto" w:sz="4" w:space="0"/>
              <w:right w:val="single" w:color="auto" w:sz="4" w:space="0"/>
            </w:tcBorders>
            <w:vAlign w:val="center"/>
          </w:tcPr>
          <w:p w14:paraId="3B6576A2">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6CF1D00E">
            <w:pPr>
              <w:widowControl/>
              <w:jc w:val="center"/>
              <w:rPr>
                <w:rFonts w:ascii="宋体" w:hAnsi="宋体" w:eastAsia="宋体" w:cs="宋体"/>
                <w:kern w:val="0"/>
                <w:sz w:val="24"/>
                <w:szCs w:val="24"/>
              </w:rPr>
            </w:pPr>
            <w:r>
              <w:rPr>
                <w:rFonts w:hint="eastAsia" w:ascii="宋体" w:hAnsi="宋体" w:eastAsia="宋体" w:cs="宋体"/>
                <w:kern w:val="0"/>
                <w:sz w:val="24"/>
                <w:szCs w:val="24"/>
              </w:rPr>
              <w:t>2、安全防护装置名称、作用和安装位置</w:t>
            </w:r>
          </w:p>
        </w:tc>
        <w:tc>
          <w:tcPr>
            <w:tcW w:w="4940" w:type="dxa"/>
            <w:tcBorders>
              <w:top w:val="nil"/>
              <w:left w:val="nil"/>
              <w:bottom w:val="single" w:color="auto" w:sz="4" w:space="0"/>
              <w:right w:val="single" w:color="auto" w:sz="4" w:space="0"/>
            </w:tcBorders>
            <w:shd w:val="clear" w:color="auto" w:fill="auto"/>
            <w:vAlign w:val="center"/>
          </w:tcPr>
          <w:p w14:paraId="01FC34DF">
            <w:pPr>
              <w:widowControl/>
              <w:rPr>
                <w:rFonts w:ascii="宋体" w:hAnsi="宋体" w:eastAsia="宋体" w:cs="宋体"/>
                <w:kern w:val="0"/>
                <w:sz w:val="24"/>
                <w:szCs w:val="24"/>
              </w:rPr>
            </w:pPr>
            <w:r>
              <w:rPr>
                <w:rFonts w:hint="eastAsia" w:ascii="宋体" w:hAnsi="宋体" w:eastAsia="宋体" w:cs="宋体"/>
                <w:kern w:val="0"/>
                <w:sz w:val="24"/>
                <w:szCs w:val="24"/>
              </w:rPr>
              <w:t>指出起重量限制器、起升高度（下降深度）限制器、大小车行程限制器、联锁保护装置、缓冲器及端部止挡、检修吊笼等。（10分）</w:t>
            </w:r>
          </w:p>
        </w:tc>
        <w:tc>
          <w:tcPr>
            <w:tcW w:w="1280" w:type="dxa"/>
            <w:tcBorders>
              <w:top w:val="nil"/>
              <w:left w:val="nil"/>
              <w:bottom w:val="single" w:color="auto" w:sz="4" w:space="0"/>
              <w:right w:val="single" w:color="auto" w:sz="4" w:space="0"/>
            </w:tcBorders>
            <w:shd w:val="clear" w:color="auto" w:fill="auto"/>
            <w:noWrap/>
            <w:vAlign w:val="center"/>
          </w:tcPr>
          <w:p w14:paraId="5B25FA3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C7C21D3">
        <w:tblPrEx>
          <w:tblCellMar>
            <w:top w:w="0" w:type="dxa"/>
            <w:left w:w="108" w:type="dxa"/>
            <w:bottom w:w="0" w:type="dxa"/>
            <w:right w:w="108" w:type="dxa"/>
          </w:tblCellMar>
        </w:tblPrEx>
        <w:trPr>
          <w:trHeight w:val="720" w:hRule="atLeast"/>
        </w:trPr>
        <w:tc>
          <w:tcPr>
            <w:tcW w:w="1400" w:type="dxa"/>
            <w:vMerge w:val="continue"/>
            <w:tcBorders>
              <w:top w:val="nil"/>
              <w:left w:val="single" w:color="auto" w:sz="4" w:space="0"/>
              <w:bottom w:val="single" w:color="auto" w:sz="4" w:space="0"/>
              <w:right w:val="single" w:color="auto" w:sz="4" w:space="0"/>
            </w:tcBorders>
            <w:vAlign w:val="center"/>
          </w:tcPr>
          <w:p w14:paraId="412B9D7E">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7E0DF589">
            <w:pPr>
              <w:widowControl/>
              <w:jc w:val="center"/>
              <w:rPr>
                <w:rFonts w:ascii="宋体" w:hAnsi="宋体" w:eastAsia="宋体" w:cs="宋体"/>
                <w:kern w:val="0"/>
                <w:sz w:val="24"/>
                <w:szCs w:val="24"/>
              </w:rPr>
            </w:pPr>
            <w:r>
              <w:rPr>
                <w:rFonts w:hint="eastAsia" w:ascii="宋体" w:hAnsi="宋体" w:eastAsia="宋体" w:cs="宋体"/>
                <w:kern w:val="0"/>
                <w:sz w:val="24"/>
                <w:szCs w:val="24"/>
              </w:rPr>
              <w:t>3、安全标志识别</w:t>
            </w:r>
          </w:p>
        </w:tc>
        <w:tc>
          <w:tcPr>
            <w:tcW w:w="4940" w:type="dxa"/>
            <w:tcBorders>
              <w:top w:val="nil"/>
              <w:left w:val="nil"/>
              <w:bottom w:val="single" w:color="auto" w:sz="4" w:space="0"/>
              <w:right w:val="single" w:color="auto" w:sz="4" w:space="0"/>
            </w:tcBorders>
            <w:shd w:val="clear" w:color="auto" w:fill="auto"/>
            <w:vAlign w:val="center"/>
          </w:tcPr>
          <w:p w14:paraId="5EFF1CE2">
            <w:pPr>
              <w:widowControl/>
              <w:rPr>
                <w:rFonts w:ascii="宋体" w:hAnsi="宋体" w:eastAsia="宋体" w:cs="宋体"/>
                <w:kern w:val="0"/>
                <w:sz w:val="24"/>
                <w:szCs w:val="24"/>
              </w:rPr>
            </w:pPr>
            <w:r>
              <w:rPr>
                <w:rFonts w:hint="eastAsia" w:ascii="宋体" w:hAnsi="宋体" w:eastAsia="宋体" w:cs="宋体"/>
                <w:kern w:val="0"/>
                <w:sz w:val="24"/>
                <w:szCs w:val="24"/>
              </w:rPr>
              <w:t>指出禁止标志、警告标志、指令标志、提示标志的含义。（10分）</w:t>
            </w:r>
          </w:p>
        </w:tc>
        <w:tc>
          <w:tcPr>
            <w:tcW w:w="1280" w:type="dxa"/>
            <w:tcBorders>
              <w:top w:val="nil"/>
              <w:left w:val="nil"/>
              <w:bottom w:val="single" w:color="auto" w:sz="4" w:space="0"/>
              <w:right w:val="single" w:color="auto" w:sz="4" w:space="0"/>
            </w:tcBorders>
            <w:shd w:val="clear" w:color="auto" w:fill="auto"/>
            <w:noWrap/>
            <w:vAlign w:val="center"/>
          </w:tcPr>
          <w:p w14:paraId="118B180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E8A0BE1">
        <w:tblPrEx>
          <w:tblCellMar>
            <w:top w:w="0" w:type="dxa"/>
            <w:left w:w="108" w:type="dxa"/>
            <w:bottom w:w="0" w:type="dxa"/>
            <w:right w:w="108" w:type="dxa"/>
          </w:tblCellMar>
        </w:tblPrEx>
        <w:trPr>
          <w:trHeight w:val="702" w:hRule="atLeast"/>
        </w:trPr>
        <w:tc>
          <w:tcPr>
            <w:tcW w:w="1400" w:type="dxa"/>
            <w:vMerge w:val="restart"/>
            <w:tcBorders>
              <w:top w:val="nil"/>
              <w:left w:val="single" w:color="auto" w:sz="4" w:space="0"/>
              <w:bottom w:val="nil"/>
              <w:right w:val="single" w:color="auto" w:sz="4" w:space="0"/>
            </w:tcBorders>
            <w:shd w:val="clear" w:color="auto" w:fill="auto"/>
            <w:vAlign w:val="center"/>
          </w:tcPr>
          <w:p w14:paraId="541A5D7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二、基本</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操作能力（50分）</w:t>
            </w:r>
          </w:p>
        </w:tc>
        <w:tc>
          <w:tcPr>
            <w:tcW w:w="1500" w:type="dxa"/>
            <w:tcBorders>
              <w:top w:val="nil"/>
              <w:left w:val="nil"/>
              <w:bottom w:val="single" w:color="auto" w:sz="4" w:space="0"/>
              <w:right w:val="single" w:color="auto" w:sz="4" w:space="0"/>
            </w:tcBorders>
            <w:shd w:val="clear" w:color="auto" w:fill="auto"/>
            <w:vAlign w:val="center"/>
          </w:tcPr>
          <w:p w14:paraId="4621132E">
            <w:pPr>
              <w:widowControl/>
              <w:jc w:val="center"/>
              <w:rPr>
                <w:rFonts w:ascii="宋体" w:hAnsi="宋体" w:eastAsia="宋体" w:cs="宋体"/>
                <w:kern w:val="0"/>
                <w:sz w:val="24"/>
                <w:szCs w:val="24"/>
              </w:rPr>
            </w:pPr>
            <w:r>
              <w:rPr>
                <w:rFonts w:hint="eastAsia" w:ascii="宋体" w:hAnsi="宋体" w:eastAsia="宋体" w:cs="宋体"/>
                <w:kern w:val="0"/>
                <w:sz w:val="24"/>
                <w:szCs w:val="24"/>
              </w:rPr>
              <w:t>1、起车前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w:t>
            </w:r>
          </w:p>
        </w:tc>
        <w:tc>
          <w:tcPr>
            <w:tcW w:w="4940" w:type="dxa"/>
            <w:tcBorders>
              <w:top w:val="nil"/>
              <w:left w:val="nil"/>
              <w:bottom w:val="single" w:color="auto" w:sz="4" w:space="0"/>
              <w:right w:val="single" w:color="auto" w:sz="4" w:space="0"/>
            </w:tcBorders>
            <w:shd w:val="clear" w:color="auto" w:fill="auto"/>
            <w:vAlign w:val="center"/>
          </w:tcPr>
          <w:p w14:paraId="719A86AF">
            <w:pPr>
              <w:widowControl/>
              <w:rPr>
                <w:rFonts w:ascii="宋体" w:hAnsi="宋体" w:eastAsia="宋体" w:cs="宋体"/>
                <w:kern w:val="0"/>
                <w:sz w:val="24"/>
                <w:szCs w:val="24"/>
              </w:rPr>
            </w:pPr>
            <w:r>
              <w:rPr>
                <w:rFonts w:hint="eastAsia" w:ascii="宋体" w:hAnsi="宋体" w:eastAsia="宋体" w:cs="宋体"/>
                <w:kern w:val="0"/>
                <w:sz w:val="24"/>
                <w:szCs w:val="24"/>
              </w:rPr>
              <w:t>起车前观察起重机周边安全情况，鸣铃警示。（2分）</w:t>
            </w:r>
          </w:p>
        </w:tc>
        <w:tc>
          <w:tcPr>
            <w:tcW w:w="1280" w:type="dxa"/>
            <w:tcBorders>
              <w:top w:val="nil"/>
              <w:left w:val="nil"/>
              <w:bottom w:val="nil"/>
              <w:right w:val="single" w:color="auto" w:sz="4" w:space="0"/>
            </w:tcBorders>
            <w:shd w:val="clear" w:color="auto" w:fill="auto"/>
            <w:noWrap/>
            <w:vAlign w:val="center"/>
          </w:tcPr>
          <w:p w14:paraId="5B0AF72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40BD6C0">
        <w:tblPrEx>
          <w:tblCellMar>
            <w:top w:w="0" w:type="dxa"/>
            <w:left w:w="108" w:type="dxa"/>
            <w:bottom w:w="0" w:type="dxa"/>
            <w:right w:w="108" w:type="dxa"/>
          </w:tblCellMar>
        </w:tblPrEx>
        <w:trPr>
          <w:trHeight w:val="660" w:hRule="atLeast"/>
        </w:trPr>
        <w:tc>
          <w:tcPr>
            <w:tcW w:w="1400" w:type="dxa"/>
            <w:vMerge w:val="continue"/>
            <w:tcBorders>
              <w:top w:val="nil"/>
              <w:left w:val="single" w:color="auto" w:sz="4" w:space="0"/>
              <w:bottom w:val="nil"/>
              <w:right w:val="single" w:color="auto" w:sz="4" w:space="0"/>
            </w:tcBorders>
            <w:vAlign w:val="center"/>
          </w:tcPr>
          <w:p w14:paraId="332E059F">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3E5686CC">
            <w:pPr>
              <w:widowControl/>
              <w:jc w:val="center"/>
              <w:rPr>
                <w:rFonts w:ascii="宋体" w:hAnsi="宋体" w:eastAsia="宋体" w:cs="宋体"/>
                <w:kern w:val="0"/>
                <w:sz w:val="24"/>
                <w:szCs w:val="24"/>
              </w:rPr>
            </w:pPr>
            <w:r>
              <w:rPr>
                <w:rFonts w:hint="eastAsia" w:ascii="宋体" w:hAnsi="宋体" w:eastAsia="宋体" w:cs="宋体"/>
                <w:kern w:val="0"/>
                <w:sz w:val="24"/>
                <w:szCs w:val="24"/>
              </w:rPr>
              <w:t>2、起升注意事项</w:t>
            </w:r>
          </w:p>
        </w:tc>
        <w:tc>
          <w:tcPr>
            <w:tcW w:w="4940" w:type="dxa"/>
            <w:tcBorders>
              <w:top w:val="nil"/>
              <w:left w:val="nil"/>
              <w:bottom w:val="nil"/>
              <w:right w:val="single" w:color="auto" w:sz="4" w:space="0"/>
            </w:tcBorders>
            <w:shd w:val="clear" w:color="auto" w:fill="auto"/>
            <w:vAlign w:val="center"/>
          </w:tcPr>
          <w:p w14:paraId="7808860A">
            <w:pPr>
              <w:widowControl/>
              <w:rPr>
                <w:rFonts w:ascii="宋体" w:hAnsi="宋体" w:eastAsia="宋体" w:cs="宋体"/>
                <w:kern w:val="0"/>
                <w:sz w:val="24"/>
                <w:szCs w:val="24"/>
              </w:rPr>
            </w:pPr>
            <w:r>
              <w:rPr>
                <w:rFonts w:hint="eastAsia" w:ascii="宋体" w:hAnsi="宋体" w:eastAsia="宋体" w:cs="宋体"/>
                <w:kern w:val="0"/>
                <w:sz w:val="24"/>
                <w:szCs w:val="24"/>
              </w:rPr>
              <w:t>吊物垂直起升，平稳、不摇摆、不抖动并离地面高度0.5米。（7分）</w:t>
            </w:r>
          </w:p>
        </w:tc>
        <w:tc>
          <w:tcPr>
            <w:tcW w:w="1280" w:type="dxa"/>
            <w:tcBorders>
              <w:top w:val="single" w:color="auto" w:sz="4" w:space="0"/>
              <w:left w:val="nil"/>
              <w:bottom w:val="nil"/>
              <w:right w:val="single" w:color="auto" w:sz="4" w:space="0"/>
            </w:tcBorders>
            <w:shd w:val="clear" w:color="auto" w:fill="auto"/>
            <w:noWrap/>
            <w:vAlign w:val="center"/>
          </w:tcPr>
          <w:p w14:paraId="03A8089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5F46746">
        <w:tblPrEx>
          <w:tblCellMar>
            <w:top w:w="0" w:type="dxa"/>
            <w:left w:w="108" w:type="dxa"/>
            <w:bottom w:w="0" w:type="dxa"/>
            <w:right w:w="108" w:type="dxa"/>
          </w:tblCellMar>
        </w:tblPrEx>
        <w:trPr>
          <w:trHeight w:val="498" w:hRule="atLeast"/>
        </w:trPr>
        <w:tc>
          <w:tcPr>
            <w:tcW w:w="1400" w:type="dxa"/>
            <w:vMerge w:val="continue"/>
            <w:tcBorders>
              <w:top w:val="nil"/>
              <w:left w:val="single" w:color="auto" w:sz="4" w:space="0"/>
              <w:bottom w:val="nil"/>
              <w:right w:val="single" w:color="auto" w:sz="4" w:space="0"/>
            </w:tcBorders>
            <w:vAlign w:val="center"/>
          </w:tcPr>
          <w:p w14:paraId="79F29F4B">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noWrap/>
            <w:vAlign w:val="center"/>
          </w:tcPr>
          <w:p w14:paraId="5EFBA333">
            <w:pPr>
              <w:widowControl/>
              <w:jc w:val="center"/>
              <w:rPr>
                <w:rFonts w:ascii="宋体" w:hAnsi="宋体" w:eastAsia="宋体" w:cs="宋体"/>
                <w:kern w:val="0"/>
                <w:sz w:val="24"/>
                <w:szCs w:val="24"/>
              </w:rPr>
            </w:pPr>
            <w:r>
              <w:rPr>
                <w:rFonts w:hint="eastAsia" w:ascii="宋体" w:hAnsi="宋体" w:eastAsia="宋体" w:cs="宋体"/>
                <w:kern w:val="0"/>
                <w:sz w:val="24"/>
                <w:szCs w:val="24"/>
              </w:rPr>
              <w:t>3、起车稳钩</w:t>
            </w:r>
          </w:p>
        </w:tc>
        <w:tc>
          <w:tcPr>
            <w:tcW w:w="4940" w:type="dxa"/>
            <w:tcBorders>
              <w:top w:val="single" w:color="auto" w:sz="4" w:space="0"/>
              <w:left w:val="nil"/>
              <w:bottom w:val="single" w:color="auto" w:sz="4" w:space="0"/>
              <w:right w:val="single" w:color="auto" w:sz="4" w:space="0"/>
            </w:tcBorders>
            <w:shd w:val="clear" w:color="auto" w:fill="auto"/>
            <w:vAlign w:val="center"/>
          </w:tcPr>
          <w:p w14:paraId="10B48B58">
            <w:pPr>
              <w:widowControl/>
              <w:rPr>
                <w:rFonts w:ascii="宋体" w:hAnsi="宋体" w:eastAsia="宋体" w:cs="宋体"/>
                <w:kern w:val="0"/>
                <w:sz w:val="24"/>
                <w:szCs w:val="24"/>
              </w:rPr>
            </w:pPr>
            <w:r>
              <w:rPr>
                <w:rFonts w:hint="eastAsia" w:ascii="宋体" w:hAnsi="宋体" w:eastAsia="宋体" w:cs="宋体"/>
                <w:kern w:val="0"/>
                <w:sz w:val="24"/>
                <w:szCs w:val="24"/>
              </w:rPr>
              <w:t>天车运行前起动平稳，吊物不摇摆。（5分）</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356857F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6B0910E">
        <w:tblPrEx>
          <w:tblCellMar>
            <w:top w:w="0" w:type="dxa"/>
            <w:left w:w="108" w:type="dxa"/>
            <w:bottom w:w="0" w:type="dxa"/>
            <w:right w:w="108" w:type="dxa"/>
          </w:tblCellMar>
        </w:tblPrEx>
        <w:trPr>
          <w:trHeight w:val="498" w:hRule="atLeast"/>
        </w:trPr>
        <w:tc>
          <w:tcPr>
            <w:tcW w:w="1400" w:type="dxa"/>
            <w:vMerge w:val="continue"/>
            <w:tcBorders>
              <w:top w:val="nil"/>
              <w:left w:val="single" w:color="auto" w:sz="4" w:space="0"/>
              <w:bottom w:val="nil"/>
              <w:right w:val="single" w:color="auto" w:sz="4" w:space="0"/>
            </w:tcBorders>
            <w:vAlign w:val="center"/>
          </w:tcPr>
          <w:p w14:paraId="6A370ACF">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noWrap/>
            <w:vAlign w:val="center"/>
          </w:tcPr>
          <w:p w14:paraId="1D4D74BE">
            <w:pPr>
              <w:widowControl/>
              <w:jc w:val="center"/>
              <w:rPr>
                <w:rFonts w:ascii="宋体" w:hAnsi="宋体" w:eastAsia="宋体" w:cs="宋体"/>
                <w:kern w:val="0"/>
                <w:sz w:val="24"/>
                <w:szCs w:val="24"/>
              </w:rPr>
            </w:pPr>
            <w:r>
              <w:rPr>
                <w:rFonts w:hint="eastAsia" w:ascii="宋体" w:hAnsi="宋体" w:eastAsia="宋体" w:cs="宋体"/>
                <w:kern w:val="0"/>
                <w:sz w:val="24"/>
                <w:szCs w:val="24"/>
              </w:rPr>
              <w:t>4、运行稳钩</w:t>
            </w:r>
          </w:p>
        </w:tc>
        <w:tc>
          <w:tcPr>
            <w:tcW w:w="4940" w:type="dxa"/>
            <w:tcBorders>
              <w:top w:val="nil"/>
              <w:left w:val="nil"/>
              <w:bottom w:val="single" w:color="auto" w:sz="4" w:space="0"/>
              <w:right w:val="single" w:color="auto" w:sz="4" w:space="0"/>
            </w:tcBorders>
            <w:shd w:val="clear" w:color="auto" w:fill="auto"/>
            <w:vAlign w:val="center"/>
          </w:tcPr>
          <w:p w14:paraId="6C822F47">
            <w:pPr>
              <w:widowControl/>
              <w:rPr>
                <w:rFonts w:ascii="宋体" w:hAnsi="宋体" w:eastAsia="宋体" w:cs="宋体"/>
                <w:kern w:val="0"/>
                <w:sz w:val="24"/>
                <w:szCs w:val="24"/>
              </w:rPr>
            </w:pPr>
            <w:r>
              <w:rPr>
                <w:rFonts w:hint="eastAsia" w:ascii="宋体" w:hAnsi="宋体" w:eastAsia="宋体" w:cs="宋体"/>
                <w:kern w:val="0"/>
                <w:sz w:val="24"/>
                <w:szCs w:val="24"/>
              </w:rPr>
              <w:t>吊物由A点水平移动到B点。（18分）</w:t>
            </w:r>
          </w:p>
        </w:tc>
        <w:tc>
          <w:tcPr>
            <w:tcW w:w="1280" w:type="dxa"/>
            <w:tcBorders>
              <w:top w:val="nil"/>
              <w:left w:val="nil"/>
              <w:bottom w:val="single" w:color="auto" w:sz="4" w:space="0"/>
              <w:right w:val="single" w:color="auto" w:sz="4" w:space="0"/>
            </w:tcBorders>
            <w:shd w:val="clear" w:color="auto" w:fill="auto"/>
            <w:noWrap/>
            <w:vAlign w:val="center"/>
          </w:tcPr>
          <w:p w14:paraId="7E718BF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1E2EA3D">
        <w:tblPrEx>
          <w:tblCellMar>
            <w:top w:w="0" w:type="dxa"/>
            <w:left w:w="108" w:type="dxa"/>
            <w:bottom w:w="0" w:type="dxa"/>
            <w:right w:w="108" w:type="dxa"/>
          </w:tblCellMar>
        </w:tblPrEx>
        <w:trPr>
          <w:trHeight w:val="705" w:hRule="atLeast"/>
        </w:trPr>
        <w:tc>
          <w:tcPr>
            <w:tcW w:w="1400" w:type="dxa"/>
            <w:vMerge w:val="continue"/>
            <w:tcBorders>
              <w:top w:val="nil"/>
              <w:left w:val="single" w:color="auto" w:sz="4" w:space="0"/>
              <w:bottom w:val="nil"/>
              <w:right w:val="single" w:color="auto" w:sz="4" w:space="0"/>
            </w:tcBorders>
            <w:vAlign w:val="center"/>
          </w:tcPr>
          <w:p w14:paraId="4A157DBD">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noWrap/>
            <w:vAlign w:val="center"/>
          </w:tcPr>
          <w:p w14:paraId="55C89B6A">
            <w:pPr>
              <w:widowControl/>
              <w:jc w:val="center"/>
              <w:rPr>
                <w:rFonts w:ascii="宋体" w:hAnsi="宋体" w:eastAsia="宋体" w:cs="宋体"/>
                <w:kern w:val="0"/>
                <w:sz w:val="24"/>
                <w:szCs w:val="24"/>
              </w:rPr>
            </w:pPr>
            <w:r>
              <w:rPr>
                <w:rFonts w:hint="eastAsia" w:ascii="宋体" w:hAnsi="宋体" w:eastAsia="宋体" w:cs="宋体"/>
                <w:kern w:val="0"/>
                <w:sz w:val="24"/>
                <w:szCs w:val="24"/>
              </w:rPr>
              <w:t>5、停车稳钩</w:t>
            </w:r>
          </w:p>
        </w:tc>
        <w:tc>
          <w:tcPr>
            <w:tcW w:w="4940" w:type="dxa"/>
            <w:tcBorders>
              <w:top w:val="nil"/>
              <w:left w:val="nil"/>
              <w:bottom w:val="single" w:color="auto" w:sz="4" w:space="0"/>
              <w:right w:val="single" w:color="auto" w:sz="4" w:space="0"/>
            </w:tcBorders>
            <w:shd w:val="clear" w:color="auto" w:fill="auto"/>
            <w:vAlign w:val="center"/>
          </w:tcPr>
          <w:p w14:paraId="1C678B7A">
            <w:pPr>
              <w:widowControl/>
              <w:rPr>
                <w:rFonts w:ascii="宋体" w:hAnsi="宋体" w:eastAsia="宋体" w:cs="宋体"/>
                <w:kern w:val="0"/>
                <w:sz w:val="24"/>
                <w:szCs w:val="24"/>
              </w:rPr>
            </w:pPr>
            <w:r>
              <w:rPr>
                <w:rFonts w:hint="eastAsia" w:ascii="宋体" w:hAnsi="宋体" w:eastAsia="宋体" w:cs="宋体"/>
                <w:kern w:val="0"/>
                <w:sz w:val="24"/>
                <w:szCs w:val="24"/>
              </w:rPr>
              <w:t>吊物由B点水平移动到C点，垂直降下吊物，落点准确。（18分）</w:t>
            </w:r>
          </w:p>
        </w:tc>
        <w:tc>
          <w:tcPr>
            <w:tcW w:w="1280" w:type="dxa"/>
            <w:tcBorders>
              <w:top w:val="nil"/>
              <w:left w:val="nil"/>
              <w:bottom w:val="single" w:color="auto" w:sz="4" w:space="0"/>
              <w:right w:val="single" w:color="auto" w:sz="4" w:space="0"/>
            </w:tcBorders>
            <w:shd w:val="clear" w:color="auto" w:fill="auto"/>
            <w:noWrap/>
            <w:vAlign w:val="center"/>
          </w:tcPr>
          <w:p w14:paraId="7E3E711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508B9F4">
        <w:tblPrEx>
          <w:tblCellMar>
            <w:top w:w="0" w:type="dxa"/>
            <w:left w:w="108" w:type="dxa"/>
            <w:bottom w:w="0" w:type="dxa"/>
            <w:right w:w="108" w:type="dxa"/>
          </w:tblCellMar>
        </w:tblPrEx>
        <w:trPr>
          <w:trHeight w:val="642" w:hRule="atLeast"/>
        </w:trPr>
        <w:tc>
          <w:tcPr>
            <w:tcW w:w="1400" w:type="dxa"/>
            <w:vMerge w:val="restart"/>
            <w:tcBorders>
              <w:top w:val="nil"/>
              <w:left w:val="single" w:color="auto" w:sz="4" w:space="0"/>
              <w:bottom w:val="single" w:color="000000" w:sz="4" w:space="0"/>
              <w:right w:val="single" w:color="auto" w:sz="4" w:space="0"/>
            </w:tcBorders>
            <w:shd w:val="clear" w:color="auto" w:fill="auto"/>
            <w:vAlign w:val="center"/>
          </w:tcPr>
          <w:p w14:paraId="126ACB4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三、应急</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处置能力与故障排除（20分）</w:t>
            </w:r>
          </w:p>
        </w:tc>
        <w:tc>
          <w:tcPr>
            <w:tcW w:w="1500" w:type="dxa"/>
            <w:tcBorders>
              <w:top w:val="nil"/>
              <w:left w:val="nil"/>
              <w:bottom w:val="single" w:color="auto" w:sz="4" w:space="0"/>
              <w:right w:val="single" w:color="auto" w:sz="4" w:space="0"/>
            </w:tcBorders>
            <w:shd w:val="clear" w:color="auto" w:fill="auto"/>
            <w:vAlign w:val="center"/>
          </w:tcPr>
          <w:p w14:paraId="051DB9C7">
            <w:pPr>
              <w:widowControl/>
              <w:jc w:val="center"/>
              <w:rPr>
                <w:rFonts w:ascii="宋体" w:hAnsi="宋体" w:eastAsia="宋体" w:cs="宋体"/>
                <w:kern w:val="0"/>
                <w:sz w:val="24"/>
                <w:szCs w:val="24"/>
              </w:rPr>
            </w:pPr>
            <w:r>
              <w:rPr>
                <w:rFonts w:hint="eastAsia" w:ascii="宋体" w:hAnsi="宋体" w:eastAsia="宋体" w:cs="宋体"/>
                <w:kern w:val="0"/>
                <w:sz w:val="24"/>
                <w:szCs w:val="24"/>
              </w:rPr>
              <w:t>1、机械部分</w:t>
            </w:r>
          </w:p>
        </w:tc>
        <w:tc>
          <w:tcPr>
            <w:tcW w:w="4940" w:type="dxa"/>
            <w:tcBorders>
              <w:top w:val="nil"/>
              <w:left w:val="nil"/>
              <w:bottom w:val="single" w:color="auto" w:sz="4" w:space="0"/>
              <w:right w:val="single" w:color="auto" w:sz="4" w:space="0"/>
            </w:tcBorders>
            <w:shd w:val="clear" w:color="auto" w:fill="auto"/>
            <w:vAlign w:val="center"/>
          </w:tcPr>
          <w:p w14:paraId="21F61748">
            <w:pPr>
              <w:widowControl/>
              <w:rPr>
                <w:rFonts w:ascii="宋体" w:hAnsi="宋体" w:eastAsia="宋体" w:cs="宋体"/>
                <w:kern w:val="0"/>
                <w:sz w:val="24"/>
                <w:szCs w:val="24"/>
              </w:rPr>
            </w:pPr>
            <w:r>
              <w:rPr>
                <w:rFonts w:hint="eastAsia" w:ascii="宋体" w:hAnsi="宋体" w:eastAsia="宋体" w:cs="宋体"/>
                <w:kern w:val="0"/>
                <w:sz w:val="24"/>
                <w:szCs w:val="24"/>
              </w:rPr>
              <w:t>起重机起升机构制动器失效如何处置。（10分）</w:t>
            </w:r>
          </w:p>
        </w:tc>
        <w:tc>
          <w:tcPr>
            <w:tcW w:w="1280" w:type="dxa"/>
            <w:tcBorders>
              <w:top w:val="nil"/>
              <w:left w:val="nil"/>
              <w:bottom w:val="nil"/>
              <w:right w:val="single" w:color="auto" w:sz="4" w:space="0"/>
            </w:tcBorders>
            <w:shd w:val="clear" w:color="auto" w:fill="auto"/>
            <w:noWrap/>
            <w:vAlign w:val="center"/>
          </w:tcPr>
          <w:p w14:paraId="19E61C6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EF74269">
        <w:tblPrEx>
          <w:tblCellMar>
            <w:top w:w="0" w:type="dxa"/>
            <w:left w:w="108" w:type="dxa"/>
            <w:bottom w:w="0" w:type="dxa"/>
            <w:right w:w="108" w:type="dxa"/>
          </w:tblCellMar>
        </w:tblPrEx>
        <w:trPr>
          <w:trHeight w:val="918" w:hRule="atLeast"/>
        </w:trPr>
        <w:tc>
          <w:tcPr>
            <w:tcW w:w="1400" w:type="dxa"/>
            <w:vMerge w:val="continue"/>
            <w:tcBorders>
              <w:top w:val="nil"/>
              <w:left w:val="single" w:color="auto" w:sz="4" w:space="0"/>
              <w:bottom w:val="single" w:color="000000" w:sz="4" w:space="0"/>
              <w:right w:val="single" w:color="auto" w:sz="4" w:space="0"/>
            </w:tcBorders>
            <w:vAlign w:val="center"/>
          </w:tcPr>
          <w:p w14:paraId="20DCDE17">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2FF6C8BF">
            <w:pPr>
              <w:widowControl/>
              <w:jc w:val="center"/>
              <w:rPr>
                <w:rFonts w:ascii="宋体" w:hAnsi="宋体" w:eastAsia="宋体" w:cs="宋体"/>
                <w:kern w:val="0"/>
                <w:sz w:val="24"/>
                <w:szCs w:val="24"/>
              </w:rPr>
            </w:pPr>
            <w:r>
              <w:rPr>
                <w:rFonts w:hint="eastAsia" w:ascii="宋体" w:hAnsi="宋体" w:eastAsia="宋体" w:cs="宋体"/>
                <w:kern w:val="0"/>
                <w:sz w:val="24"/>
                <w:szCs w:val="24"/>
              </w:rPr>
              <w:t>2、电器设备</w:t>
            </w:r>
          </w:p>
        </w:tc>
        <w:tc>
          <w:tcPr>
            <w:tcW w:w="4940" w:type="dxa"/>
            <w:tcBorders>
              <w:top w:val="nil"/>
              <w:left w:val="nil"/>
              <w:bottom w:val="single" w:color="auto" w:sz="4" w:space="0"/>
              <w:right w:val="single" w:color="auto" w:sz="4" w:space="0"/>
            </w:tcBorders>
            <w:shd w:val="clear" w:color="auto" w:fill="auto"/>
            <w:vAlign w:val="center"/>
          </w:tcPr>
          <w:p w14:paraId="11399159">
            <w:pPr>
              <w:widowControl/>
              <w:rPr>
                <w:rFonts w:ascii="宋体" w:hAnsi="宋体" w:eastAsia="宋体" w:cs="宋体"/>
                <w:kern w:val="0"/>
                <w:sz w:val="24"/>
                <w:szCs w:val="24"/>
              </w:rPr>
            </w:pPr>
            <w:r>
              <w:rPr>
                <w:rFonts w:hint="eastAsia" w:ascii="宋体" w:hAnsi="宋体" w:eastAsia="宋体" w:cs="宋体"/>
                <w:kern w:val="0"/>
                <w:sz w:val="24"/>
                <w:szCs w:val="24"/>
              </w:rPr>
              <w:t>当控制器合上以后，电动机不动故障原因（10分）</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421FBEF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0F41811">
        <w:tblPrEx>
          <w:tblCellMar>
            <w:top w:w="0" w:type="dxa"/>
            <w:left w:w="108" w:type="dxa"/>
            <w:bottom w:w="0" w:type="dxa"/>
            <w:right w:w="108" w:type="dxa"/>
          </w:tblCellMar>
        </w:tblPrEx>
        <w:trPr>
          <w:trHeight w:val="462" w:hRule="atLeast"/>
        </w:trPr>
        <w:tc>
          <w:tcPr>
            <w:tcW w:w="1400" w:type="dxa"/>
            <w:vMerge w:val="restart"/>
            <w:tcBorders>
              <w:top w:val="nil"/>
              <w:left w:val="single" w:color="auto" w:sz="4" w:space="0"/>
              <w:bottom w:val="single" w:color="000000" w:sz="4" w:space="0"/>
              <w:right w:val="single" w:color="auto" w:sz="4" w:space="0"/>
            </w:tcBorders>
            <w:shd w:val="clear" w:color="auto" w:fill="auto"/>
            <w:vAlign w:val="center"/>
          </w:tcPr>
          <w:p w14:paraId="4F06661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不合格</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操作事项</w:t>
            </w:r>
          </w:p>
        </w:tc>
        <w:tc>
          <w:tcPr>
            <w:tcW w:w="1500" w:type="dxa"/>
            <w:tcBorders>
              <w:top w:val="nil"/>
              <w:left w:val="nil"/>
              <w:bottom w:val="single" w:color="auto" w:sz="4" w:space="0"/>
              <w:right w:val="single" w:color="auto" w:sz="4" w:space="0"/>
            </w:tcBorders>
            <w:shd w:val="clear" w:color="auto" w:fill="auto"/>
            <w:vAlign w:val="center"/>
          </w:tcPr>
          <w:p w14:paraId="47874FE0">
            <w:pPr>
              <w:widowControl/>
              <w:jc w:val="center"/>
              <w:rPr>
                <w:rFonts w:ascii="宋体" w:hAnsi="宋体" w:eastAsia="宋体" w:cs="宋体"/>
                <w:kern w:val="0"/>
                <w:sz w:val="24"/>
                <w:szCs w:val="24"/>
              </w:rPr>
            </w:pPr>
            <w:r>
              <w:rPr>
                <w:rFonts w:hint="eastAsia" w:ascii="宋体" w:hAnsi="宋体" w:eastAsia="宋体" w:cs="宋体"/>
                <w:kern w:val="0"/>
                <w:sz w:val="24"/>
                <w:szCs w:val="24"/>
              </w:rPr>
              <w:t>1、安全操作</w:t>
            </w:r>
          </w:p>
        </w:tc>
        <w:tc>
          <w:tcPr>
            <w:tcW w:w="4940" w:type="dxa"/>
            <w:tcBorders>
              <w:top w:val="nil"/>
              <w:left w:val="nil"/>
              <w:bottom w:val="nil"/>
              <w:right w:val="single" w:color="auto" w:sz="4" w:space="0"/>
            </w:tcBorders>
            <w:shd w:val="clear" w:color="auto" w:fill="auto"/>
            <w:vAlign w:val="center"/>
          </w:tcPr>
          <w:p w14:paraId="20FC94A1">
            <w:pPr>
              <w:widowControl/>
              <w:rPr>
                <w:rFonts w:ascii="宋体" w:hAnsi="宋体" w:eastAsia="宋体" w:cs="宋体"/>
                <w:kern w:val="0"/>
                <w:sz w:val="24"/>
                <w:szCs w:val="24"/>
              </w:rPr>
            </w:pPr>
            <w:r>
              <w:rPr>
                <w:rFonts w:hint="eastAsia" w:ascii="宋体" w:hAnsi="宋体" w:eastAsia="宋体" w:cs="宋体"/>
                <w:kern w:val="0"/>
                <w:sz w:val="24"/>
                <w:szCs w:val="24"/>
              </w:rPr>
              <w:t>将立杆撞倒</w:t>
            </w:r>
          </w:p>
        </w:tc>
        <w:tc>
          <w:tcPr>
            <w:tcW w:w="1280" w:type="dxa"/>
            <w:tcBorders>
              <w:top w:val="nil"/>
              <w:left w:val="nil"/>
              <w:bottom w:val="nil"/>
              <w:right w:val="single" w:color="auto" w:sz="4" w:space="0"/>
            </w:tcBorders>
            <w:shd w:val="clear" w:color="auto" w:fill="auto"/>
            <w:noWrap/>
            <w:vAlign w:val="center"/>
          </w:tcPr>
          <w:p w14:paraId="7129408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F6C128B">
        <w:tblPrEx>
          <w:tblCellMar>
            <w:top w:w="0" w:type="dxa"/>
            <w:left w:w="108" w:type="dxa"/>
            <w:bottom w:w="0" w:type="dxa"/>
            <w:right w:w="108" w:type="dxa"/>
          </w:tblCellMar>
        </w:tblPrEx>
        <w:trPr>
          <w:trHeight w:val="678" w:hRule="atLeast"/>
        </w:trPr>
        <w:tc>
          <w:tcPr>
            <w:tcW w:w="1400" w:type="dxa"/>
            <w:vMerge w:val="continue"/>
            <w:tcBorders>
              <w:top w:val="nil"/>
              <w:left w:val="single" w:color="auto" w:sz="4" w:space="0"/>
              <w:bottom w:val="single" w:color="000000" w:sz="4" w:space="0"/>
              <w:right w:val="single" w:color="auto" w:sz="4" w:space="0"/>
            </w:tcBorders>
            <w:vAlign w:val="center"/>
          </w:tcPr>
          <w:p w14:paraId="1F99006C">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48B53E16">
            <w:pPr>
              <w:widowControl/>
              <w:jc w:val="center"/>
              <w:rPr>
                <w:rFonts w:ascii="宋体" w:hAnsi="宋体" w:eastAsia="宋体" w:cs="宋体"/>
                <w:kern w:val="0"/>
                <w:sz w:val="24"/>
                <w:szCs w:val="24"/>
              </w:rPr>
            </w:pPr>
            <w:r>
              <w:rPr>
                <w:rFonts w:hint="eastAsia" w:ascii="宋体" w:hAnsi="宋体" w:eastAsia="宋体" w:cs="宋体"/>
                <w:kern w:val="0"/>
                <w:sz w:val="24"/>
                <w:szCs w:val="24"/>
              </w:rPr>
              <w:t>2、合理操作</w:t>
            </w:r>
          </w:p>
        </w:tc>
        <w:tc>
          <w:tcPr>
            <w:tcW w:w="4940" w:type="dxa"/>
            <w:tcBorders>
              <w:top w:val="single" w:color="auto" w:sz="4" w:space="0"/>
              <w:left w:val="nil"/>
              <w:bottom w:val="single" w:color="auto" w:sz="4" w:space="0"/>
              <w:right w:val="single" w:color="auto" w:sz="4" w:space="0"/>
            </w:tcBorders>
            <w:shd w:val="clear" w:color="auto" w:fill="auto"/>
            <w:vAlign w:val="center"/>
          </w:tcPr>
          <w:p w14:paraId="0D8FFC47">
            <w:pPr>
              <w:widowControl/>
              <w:rPr>
                <w:rFonts w:ascii="宋体" w:hAnsi="宋体" w:eastAsia="宋体" w:cs="宋体"/>
                <w:kern w:val="0"/>
                <w:sz w:val="24"/>
                <w:szCs w:val="24"/>
              </w:rPr>
            </w:pPr>
            <w:r>
              <w:rPr>
                <w:rFonts w:hint="eastAsia" w:ascii="宋体" w:hAnsi="宋体" w:eastAsia="宋体" w:cs="宋体"/>
                <w:kern w:val="0"/>
                <w:sz w:val="24"/>
                <w:szCs w:val="24"/>
              </w:rPr>
              <w:t>操作时严重打反车制动，吊物长时间大幅度游摆。未按照考试流程顺序操作。</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03B4205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08B7D63">
        <w:tblPrEx>
          <w:tblCellMar>
            <w:top w:w="0" w:type="dxa"/>
            <w:left w:w="108" w:type="dxa"/>
            <w:bottom w:w="0" w:type="dxa"/>
            <w:right w:w="108" w:type="dxa"/>
          </w:tblCellMar>
        </w:tblPrEx>
        <w:trPr>
          <w:trHeight w:val="462" w:hRule="atLeast"/>
        </w:trPr>
        <w:tc>
          <w:tcPr>
            <w:tcW w:w="1400" w:type="dxa"/>
            <w:vMerge w:val="continue"/>
            <w:tcBorders>
              <w:top w:val="nil"/>
              <w:left w:val="single" w:color="auto" w:sz="4" w:space="0"/>
              <w:bottom w:val="single" w:color="000000" w:sz="4" w:space="0"/>
              <w:right w:val="single" w:color="auto" w:sz="4" w:space="0"/>
            </w:tcBorders>
            <w:vAlign w:val="center"/>
          </w:tcPr>
          <w:p w14:paraId="120DDA24">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347AED9D">
            <w:pPr>
              <w:widowControl/>
              <w:jc w:val="center"/>
              <w:rPr>
                <w:rFonts w:ascii="宋体" w:hAnsi="宋体" w:eastAsia="宋体" w:cs="宋体"/>
                <w:kern w:val="0"/>
                <w:sz w:val="24"/>
                <w:szCs w:val="24"/>
              </w:rPr>
            </w:pPr>
            <w:r>
              <w:rPr>
                <w:rFonts w:hint="eastAsia" w:ascii="宋体" w:hAnsi="宋体" w:eastAsia="宋体" w:cs="宋体"/>
                <w:kern w:val="0"/>
                <w:sz w:val="24"/>
                <w:szCs w:val="24"/>
              </w:rPr>
              <w:t>3、精准操作</w:t>
            </w:r>
          </w:p>
        </w:tc>
        <w:tc>
          <w:tcPr>
            <w:tcW w:w="4940" w:type="dxa"/>
            <w:tcBorders>
              <w:top w:val="nil"/>
              <w:left w:val="nil"/>
              <w:bottom w:val="single" w:color="auto" w:sz="4" w:space="0"/>
              <w:right w:val="single" w:color="auto" w:sz="4" w:space="0"/>
            </w:tcBorders>
            <w:shd w:val="clear" w:color="auto" w:fill="auto"/>
            <w:vAlign w:val="center"/>
          </w:tcPr>
          <w:p w14:paraId="1DEC7DF2">
            <w:pPr>
              <w:widowControl/>
              <w:rPr>
                <w:rFonts w:ascii="宋体" w:hAnsi="宋体" w:eastAsia="宋体" w:cs="宋体"/>
                <w:kern w:val="0"/>
                <w:sz w:val="24"/>
                <w:szCs w:val="24"/>
              </w:rPr>
            </w:pPr>
            <w:r>
              <w:rPr>
                <w:rFonts w:hint="eastAsia" w:ascii="宋体" w:hAnsi="宋体" w:eastAsia="宋体" w:cs="宋体"/>
                <w:kern w:val="0"/>
                <w:sz w:val="24"/>
                <w:szCs w:val="24"/>
              </w:rPr>
              <w:t>整个吊物全部落在落点外面。</w:t>
            </w:r>
          </w:p>
        </w:tc>
        <w:tc>
          <w:tcPr>
            <w:tcW w:w="1280" w:type="dxa"/>
            <w:tcBorders>
              <w:top w:val="nil"/>
              <w:left w:val="nil"/>
              <w:bottom w:val="single" w:color="auto" w:sz="4" w:space="0"/>
              <w:right w:val="single" w:color="auto" w:sz="4" w:space="0"/>
            </w:tcBorders>
            <w:shd w:val="clear" w:color="auto" w:fill="auto"/>
            <w:noWrap/>
            <w:vAlign w:val="center"/>
          </w:tcPr>
          <w:p w14:paraId="7226A34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484251B">
        <w:tblPrEx>
          <w:tblCellMar>
            <w:top w:w="0" w:type="dxa"/>
            <w:left w:w="108" w:type="dxa"/>
            <w:bottom w:w="0" w:type="dxa"/>
            <w:right w:w="108" w:type="dxa"/>
          </w:tblCellMar>
        </w:tblPrEx>
        <w:trPr>
          <w:trHeight w:val="702" w:hRule="atLeast"/>
        </w:trPr>
        <w:tc>
          <w:tcPr>
            <w:tcW w:w="1400" w:type="dxa"/>
            <w:vMerge w:val="continue"/>
            <w:tcBorders>
              <w:top w:val="nil"/>
              <w:left w:val="single" w:color="auto" w:sz="4" w:space="0"/>
              <w:bottom w:val="single" w:color="000000" w:sz="4" w:space="0"/>
              <w:right w:val="single" w:color="auto" w:sz="4" w:space="0"/>
            </w:tcBorders>
            <w:vAlign w:val="center"/>
          </w:tcPr>
          <w:p w14:paraId="5ED8758A">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32FE9F3C">
            <w:pPr>
              <w:widowControl/>
              <w:jc w:val="center"/>
              <w:rPr>
                <w:rFonts w:ascii="宋体" w:hAnsi="宋体" w:eastAsia="宋体" w:cs="宋体"/>
                <w:kern w:val="0"/>
                <w:sz w:val="24"/>
                <w:szCs w:val="24"/>
              </w:rPr>
            </w:pPr>
            <w:r>
              <w:rPr>
                <w:rFonts w:hint="eastAsia" w:ascii="宋体" w:hAnsi="宋体" w:eastAsia="宋体" w:cs="宋体"/>
                <w:kern w:val="0"/>
                <w:sz w:val="24"/>
                <w:szCs w:val="24"/>
              </w:rPr>
              <w:t>4、超时完成</w:t>
            </w:r>
          </w:p>
        </w:tc>
        <w:tc>
          <w:tcPr>
            <w:tcW w:w="4940" w:type="dxa"/>
            <w:tcBorders>
              <w:top w:val="nil"/>
              <w:left w:val="nil"/>
              <w:bottom w:val="single" w:color="auto" w:sz="4" w:space="0"/>
              <w:right w:val="single" w:color="auto" w:sz="4" w:space="0"/>
            </w:tcBorders>
            <w:shd w:val="clear" w:color="auto" w:fill="auto"/>
            <w:vAlign w:val="center"/>
          </w:tcPr>
          <w:p w14:paraId="4412B26B">
            <w:pPr>
              <w:widowControl/>
              <w:rPr>
                <w:rFonts w:ascii="宋体" w:hAnsi="宋体" w:eastAsia="宋体" w:cs="宋体"/>
                <w:kern w:val="0"/>
                <w:sz w:val="24"/>
                <w:szCs w:val="24"/>
              </w:rPr>
            </w:pPr>
            <w:r>
              <w:rPr>
                <w:rFonts w:hint="eastAsia" w:ascii="宋体" w:hAnsi="宋体" w:eastAsia="宋体" w:cs="宋体"/>
                <w:kern w:val="0"/>
                <w:sz w:val="24"/>
                <w:szCs w:val="24"/>
              </w:rPr>
              <w:t>整个操作流程时间超过3分钟。</w:t>
            </w:r>
          </w:p>
        </w:tc>
        <w:tc>
          <w:tcPr>
            <w:tcW w:w="1280" w:type="dxa"/>
            <w:tcBorders>
              <w:top w:val="nil"/>
              <w:left w:val="nil"/>
              <w:bottom w:val="single" w:color="auto" w:sz="4" w:space="0"/>
              <w:right w:val="single" w:color="auto" w:sz="4" w:space="0"/>
            </w:tcBorders>
            <w:shd w:val="clear" w:color="auto" w:fill="auto"/>
            <w:noWrap/>
            <w:vAlign w:val="center"/>
          </w:tcPr>
          <w:p w14:paraId="5D2C676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2A01323">
        <w:tblPrEx>
          <w:tblCellMar>
            <w:top w:w="0" w:type="dxa"/>
            <w:left w:w="108" w:type="dxa"/>
            <w:bottom w:w="0" w:type="dxa"/>
            <w:right w:w="108" w:type="dxa"/>
          </w:tblCellMar>
        </w:tblPrEx>
        <w:trPr>
          <w:trHeight w:val="798" w:hRule="atLeast"/>
        </w:trPr>
        <w:tc>
          <w:tcPr>
            <w:tcW w:w="1400" w:type="dxa"/>
            <w:vMerge w:val="continue"/>
            <w:tcBorders>
              <w:top w:val="nil"/>
              <w:left w:val="single" w:color="auto" w:sz="4" w:space="0"/>
              <w:bottom w:val="single" w:color="000000" w:sz="4" w:space="0"/>
              <w:right w:val="single" w:color="auto" w:sz="4" w:space="0"/>
            </w:tcBorders>
            <w:vAlign w:val="center"/>
          </w:tcPr>
          <w:p w14:paraId="7B1A27F2">
            <w:pPr>
              <w:widowControl/>
              <w:jc w:val="left"/>
              <w:rPr>
                <w:rFonts w:ascii="宋体" w:hAnsi="宋体" w:eastAsia="宋体" w:cs="宋体"/>
                <w:b/>
                <w:bCs/>
                <w:kern w:val="0"/>
                <w:sz w:val="24"/>
                <w:szCs w:val="24"/>
              </w:rPr>
            </w:pPr>
          </w:p>
        </w:tc>
        <w:tc>
          <w:tcPr>
            <w:tcW w:w="1500" w:type="dxa"/>
            <w:tcBorders>
              <w:top w:val="nil"/>
              <w:left w:val="nil"/>
              <w:bottom w:val="single" w:color="auto" w:sz="4" w:space="0"/>
              <w:right w:val="single" w:color="auto" w:sz="4" w:space="0"/>
            </w:tcBorders>
            <w:shd w:val="clear" w:color="auto" w:fill="auto"/>
            <w:vAlign w:val="center"/>
          </w:tcPr>
          <w:p w14:paraId="75015CF3">
            <w:pPr>
              <w:widowControl/>
              <w:jc w:val="center"/>
              <w:rPr>
                <w:rFonts w:ascii="宋体" w:hAnsi="宋体" w:eastAsia="宋体" w:cs="宋体"/>
                <w:kern w:val="0"/>
                <w:sz w:val="24"/>
                <w:szCs w:val="24"/>
              </w:rPr>
            </w:pPr>
            <w:r>
              <w:rPr>
                <w:rFonts w:hint="eastAsia" w:ascii="宋体" w:hAnsi="宋体" w:eastAsia="宋体" w:cs="宋体"/>
                <w:kern w:val="0"/>
                <w:sz w:val="24"/>
                <w:szCs w:val="24"/>
              </w:rPr>
              <w:t>5、考场秩序</w:t>
            </w:r>
          </w:p>
        </w:tc>
        <w:tc>
          <w:tcPr>
            <w:tcW w:w="4940" w:type="dxa"/>
            <w:tcBorders>
              <w:top w:val="nil"/>
              <w:left w:val="nil"/>
              <w:bottom w:val="single" w:color="auto" w:sz="4" w:space="0"/>
              <w:right w:val="single" w:color="auto" w:sz="4" w:space="0"/>
            </w:tcBorders>
            <w:shd w:val="clear" w:color="auto" w:fill="auto"/>
            <w:vAlign w:val="center"/>
          </w:tcPr>
          <w:p w14:paraId="21209474">
            <w:pPr>
              <w:widowControl/>
              <w:rPr>
                <w:rFonts w:ascii="宋体" w:hAnsi="宋体" w:eastAsia="宋体" w:cs="宋体"/>
                <w:kern w:val="0"/>
                <w:sz w:val="24"/>
                <w:szCs w:val="24"/>
              </w:rPr>
            </w:pPr>
            <w:r>
              <w:rPr>
                <w:rFonts w:hint="eastAsia" w:ascii="宋体" w:hAnsi="宋体" w:eastAsia="宋体" w:cs="宋体"/>
                <w:kern w:val="0"/>
                <w:sz w:val="24"/>
                <w:szCs w:val="24"/>
              </w:rPr>
              <w:t>凡不服从考场老师安排、无故闹事捣乱者干扰考试正常进行情节严重的均取消考试资格。</w:t>
            </w:r>
          </w:p>
        </w:tc>
        <w:tc>
          <w:tcPr>
            <w:tcW w:w="1280" w:type="dxa"/>
            <w:tcBorders>
              <w:top w:val="nil"/>
              <w:left w:val="nil"/>
              <w:bottom w:val="single" w:color="auto" w:sz="4" w:space="0"/>
              <w:right w:val="single" w:color="auto" w:sz="4" w:space="0"/>
            </w:tcBorders>
            <w:shd w:val="clear" w:color="auto" w:fill="auto"/>
            <w:noWrap/>
            <w:vAlign w:val="center"/>
          </w:tcPr>
          <w:p w14:paraId="40BF183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4BB2E1CD">
      <w:pPr>
        <w:rPr>
          <w:sz w:val="28"/>
          <w:szCs w:val="28"/>
        </w:rPr>
      </w:pPr>
      <w:r>
        <w:rPr>
          <w:rFonts w:hint="eastAsia"/>
          <w:sz w:val="28"/>
          <w:szCs w:val="28"/>
        </w:rPr>
        <w:t>五、竞赛规则</w:t>
      </w:r>
    </w:p>
    <w:p w14:paraId="400EA629">
      <w:pPr>
        <w:rPr>
          <w:sz w:val="28"/>
          <w:szCs w:val="28"/>
        </w:rPr>
      </w:pPr>
      <w:r>
        <w:rPr>
          <w:rFonts w:hint="eastAsia"/>
          <w:sz w:val="28"/>
          <w:szCs w:val="28"/>
        </w:rPr>
        <w:t>（一）熟悉场地与抽签</w:t>
      </w:r>
    </w:p>
    <w:p w14:paraId="37B0AA68">
      <w:pPr>
        <w:rPr>
          <w:sz w:val="28"/>
          <w:szCs w:val="28"/>
        </w:rPr>
      </w:pPr>
      <w:r>
        <w:rPr>
          <w:rFonts w:hint="eastAsia"/>
          <w:sz w:val="28"/>
          <w:szCs w:val="28"/>
        </w:rPr>
        <w:t>1.赛项安排在第一天上午抽签确定各参赛队的“抽签顺序号”和“实操出场顺序号”。抽签结束后，各参赛队熟悉比赛场地。</w:t>
      </w:r>
    </w:p>
    <w:p w14:paraId="4E2625CF">
      <w:pPr>
        <w:rPr>
          <w:sz w:val="28"/>
          <w:szCs w:val="28"/>
        </w:rPr>
      </w:pPr>
      <w:r>
        <w:rPr>
          <w:rFonts w:hint="eastAsia"/>
          <w:sz w:val="28"/>
          <w:szCs w:val="28"/>
        </w:rPr>
        <w:t>2.每天各场次比赛前，同场次参赛队领队现场抽签，确定比赛工位。</w:t>
      </w:r>
    </w:p>
    <w:p w14:paraId="4743E9C7">
      <w:pPr>
        <w:rPr>
          <w:sz w:val="28"/>
          <w:szCs w:val="28"/>
        </w:rPr>
      </w:pPr>
      <w:r>
        <w:rPr>
          <w:rFonts w:hint="eastAsia"/>
          <w:sz w:val="28"/>
          <w:szCs w:val="28"/>
        </w:rPr>
        <w:t>（二）赛场要求</w:t>
      </w:r>
    </w:p>
    <w:p w14:paraId="67021904">
      <w:pPr>
        <w:rPr>
          <w:sz w:val="28"/>
          <w:szCs w:val="28"/>
        </w:rPr>
      </w:pPr>
      <w:r>
        <w:rPr>
          <w:rFonts w:hint="eastAsia"/>
          <w:sz w:val="28"/>
          <w:szCs w:val="28"/>
        </w:rPr>
        <w:t>1.各参赛队须提前 30 分钟进行注册，在比赛期间实行封闭管理，参赛队迟到 5 分钟以弃权论。</w:t>
      </w:r>
    </w:p>
    <w:p w14:paraId="11AAB145">
      <w:pPr>
        <w:rPr>
          <w:sz w:val="28"/>
          <w:szCs w:val="28"/>
        </w:rPr>
      </w:pPr>
      <w:r>
        <w:rPr>
          <w:rFonts w:hint="eastAsia"/>
          <w:sz w:val="28"/>
          <w:szCs w:val="28"/>
        </w:rPr>
        <w:t>2.参赛选手不带任何参赛队及个人信息入场比赛，参赛选手不允许携带任何通讯及存储设备、纸质材料等物品进入赛场，赛场内提供必需用品。</w:t>
      </w:r>
    </w:p>
    <w:p w14:paraId="673068E0">
      <w:pPr>
        <w:rPr>
          <w:sz w:val="28"/>
          <w:szCs w:val="28"/>
        </w:rPr>
      </w:pPr>
      <w:r>
        <w:rPr>
          <w:rFonts w:hint="eastAsia"/>
          <w:sz w:val="28"/>
          <w:szCs w:val="28"/>
        </w:rPr>
        <w:t>3.参赛选手进入赛场必须听从现场裁判人员的统一布置和安排，比赛期间必须严格遵守安全操作规程，确保人身和设备安全；</w:t>
      </w:r>
    </w:p>
    <w:p w14:paraId="48B04D64">
      <w:pPr>
        <w:rPr>
          <w:sz w:val="28"/>
          <w:szCs w:val="28"/>
        </w:rPr>
      </w:pPr>
      <w:r>
        <w:rPr>
          <w:rFonts w:hint="eastAsia"/>
          <w:sz w:val="28"/>
          <w:szCs w:val="28"/>
        </w:rPr>
        <w:t>4.比赛结束前 10 分钟，裁判长提醒比赛即将结束，当宣布比赛结束后，参赛选手必须马上停止一切操作，按要求位置站立等候撤离比赛工位指令。</w:t>
      </w:r>
    </w:p>
    <w:p w14:paraId="522C945F">
      <w:pPr>
        <w:rPr>
          <w:sz w:val="28"/>
          <w:szCs w:val="28"/>
        </w:rPr>
      </w:pPr>
      <w:r>
        <w:rPr>
          <w:rFonts w:hint="eastAsia"/>
          <w:sz w:val="28"/>
          <w:szCs w:val="28"/>
        </w:rPr>
        <w:t>5.参赛队提交的所有文件、单据等，凡要求参赛选手签字确认的，均签参赛队参赛抽签序号。</w:t>
      </w:r>
    </w:p>
    <w:p w14:paraId="74053158">
      <w:pPr>
        <w:rPr>
          <w:sz w:val="28"/>
          <w:szCs w:val="28"/>
        </w:rPr>
      </w:pPr>
      <w:r>
        <w:rPr>
          <w:rFonts w:hint="eastAsia"/>
          <w:sz w:val="28"/>
          <w:szCs w:val="28"/>
        </w:rPr>
        <w:t>6.竞赛中出现不文明和不安全的现象、操作不规范、出现质量问题、分工协作不合理等现象，均按规定扣分。</w:t>
      </w:r>
    </w:p>
    <w:p w14:paraId="1EC327B9">
      <w:pPr>
        <w:rPr>
          <w:sz w:val="28"/>
          <w:szCs w:val="28"/>
        </w:rPr>
      </w:pPr>
      <w:r>
        <w:rPr>
          <w:rFonts w:hint="eastAsia"/>
          <w:sz w:val="28"/>
          <w:szCs w:val="28"/>
        </w:rPr>
        <w:t>（三）成绩评定及公布</w:t>
      </w:r>
    </w:p>
    <w:p w14:paraId="0D776A4E">
      <w:pPr>
        <w:rPr>
          <w:sz w:val="28"/>
          <w:szCs w:val="28"/>
        </w:rPr>
      </w:pPr>
      <w:r>
        <w:rPr>
          <w:rFonts w:hint="eastAsia"/>
          <w:sz w:val="28"/>
          <w:szCs w:val="28"/>
        </w:rPr>
        <w:t>1.大赛在赛项执委会领导下，赛项裁判组负责赛项成绩评定工作，参赛队成绩通过“三级审核”，确保比赛成绩准确无误。</w:t>
      </w:r>
    </w:p>
    <w:p w14:paraId="0640A493">
      <w:pPr>
        <w:rPr>
          <w:sz w:val="28"/>
          <w:szCs w:val="28"/>
        </w:rPr>
      </w:pPr>
      <w:r>
        <w:rPr>
          <w:rFonts w:hint="eastAsia"/>
          <w:sz w:val="28"/>
          <w:szCs w:val="28"/>
        </w:rPr>
        <w:t>2.大赛专家组负责大赛命题工作，比赛前通过抽签确定赛题。</w:t>
      </w:r>
    </w:p>
    <w:p w14:paraId="16653D3E">
      <w:pPr>
        <w:rPr>
          <w:sz w:val="28"/>
          <w:szCs w:val="28"/>
        </w:rPr>
      </w:pPr>
      <w:r>
        <w:rPr>
          <w:rFonts w:hint="eastAsia"/>
          <w:sz w:val="28"/>
          <w:szCs w:val="28"/>
        </w:rPr>
        <w:t>3.裁判报到后，封闭管理。通过抽签方式，确定裁判执裁工位。</w:t>
      </w:r>
    </w:p>
    <w:p w14:paraId="0EE2715C">
      <w:pPr>
        <w:rPr>
          <w:sz w:val="28"/>
          <w:szCs w:val="28"/>
        </w:rPr>
      </w:pPr>
      <w:r>
        <w:rPr>
          <w:rFonts w:hint="eastAsia"/>
          <w:sz w:val="28"/>
          <w:szCs w:val="28"/>
        </w:rPr>
        <w:t>4.为保证裁判执裁标准一致，裁判进行竞赛预演培训。</w:t>
      </w:r>
    </w:p>
    <w:p w14:paraId="4AB22E9D">
      <w:pPr>
        <w:rPr>
          <w:sz w:val="28"/>
          <w:szCs w:val="28"/>
        </w:rPr>
      </w:pPr>
      <w:r>
        <w:rPr>
          <w:rFonts w:hint="eastAsia"/>
          <w:sz w:val="28"/>
          <w:szCs w:val="28"/>
        </w:rPr>
        <w:t>5.竞赛成绩原则上在所有竞赛完毕 3 小时后公布。</w:t>
      </w:r>
    </w:p>
    <w:p w14:paraId="60C24602">
      <w:pPr>
        <w:rPr>
          <w:sz w:val="28"/>
          <w:szCs w:val="28"/>
        </w:rPr>
      </w:pPr>
      <w:r>
        <w:rPr>
          <w:rFonts w:hint="eastAsia"/>
          <w:sz w:val="28"/>
          <w:szCs w:val="28"/>
        </w:rPr>
        <w:t>6.其它未涉及事项或突发事件，由大赛组委会负责解释或决定。</w:t>
      </w:r>
    </w:p>
    <w:p w14:paraId="15085507">
      <w:pPr>
        <w:rPr>
          <w:sz w:val="28"/>
          <w:szCs w:val="28"/>
        </w:rPr>
      </w:pPr>
      <w:r>
        <w:rPr>
          <w:rFonts w:hint="eastAsia"/>
          <w:sz w:val="28"/>
          <w:szCs w:val="28"/>
        </w:rPr>
        <w:t>六、奖项设定</w:t>
      </w:r>
    </w:p>
    <w:p w14:paraId="38E12B52">
      <w:pPr>
        <w:rPr>
          <w:sz w:val="28"/>
          <w:szCs w:val="28"/>
        </w:rPr>
      </w:pPr>
      <w:r>
        <w:rPr>
          <w:rFonts w:hint="eastAsia"/>
          <w:sz w:val="28"/>
          <w:szCs w:val="28"/>
        </w:rPr>
        <w:t>本次竞赛奖项设置如下：</w:t>
      </w:r>
    </w:p>
    <w:p w14:paraId="737DAEA2">
      <w:pPr>
        <w:rPr>
          <w:sz w:val="28"/>
          <w:szCs w:val="28"/>
        </w:rPr>
      </w:pPr>
      <w:r>
        <w:rPr>
          <w:rFonts w:hint="eastAsia"/>
          <w:sz w:val="28"/>
          <w:szCs w:val="28"/>
        </w:rPr>
        <w:t>（一）学生奖</w:t>
      </w:r>
    </w:p>
    <w:p w14:paraId="6F27750A">
      <w:pPr>
        <w:rPr>
          <w:sz w:val="28"/>
          <w:szCs w:val="28"/>
        </w:rPr>
      </w:pPr>
      <w:r>
        <w:rPr>
          <w:rFonts w:hint="eastAsia"/>
          <w:sz w:val="28"/>
          <w:szCs w:val="28"/>
        </w:rPr>
        <w:t>起重操作技能赛项设个人奖，一等奖占比 10%，二等奖占比</w:t>
      </w:r>
    </w:p>
    <w:p w14:paraId="579F9B07">
      <w:pPr>
        <w:rPr>
          <w:sz w:val="28"/>
          <w:szCs w:val="28"/>
        </w:rPr>
      </w:pPr>
      <w:r>
        <w:rPr>
          <w:rFonts w:hint="eastAsia"/>
          <w:sz w:val="28"/>
          <w:szCs w:val="28"/>
        </w:rPr>
        <w:t>20%，三等奖占比 30%（计算分数时保留小数点后两位）。</w:t>
      </w:r>
    </w:p>
    <w:p w14:paraId="7A1EA433">
      <w:pPr>
        <w:rPr>
          <w:sz w:val="28"/>
          <w:szCs w:val="28"/>
        </w:rPr>
      </w:pPr>
      <w:r>
        <w:rPr>
          <w:rFonts w:hint="eastAsia"/>
          <w:sz w:val="28"/>
          <w:szCs w:val="28"/>
        </w:rPr>
        <w:t>（二）教师奖</w:t>
      </w:r>
    </w:p>
    <w:p w14:paraId="40CAD9A7">
      <w:pPr>
        <w:rPr>
          <w:sz w:val="28"/>
          <w:szCs w:val="28"/>
        </w:rPr>
      </w:pPr>
      <w:r>
        <w:rPr>
          <w:rFonts w:hint="eastAsia"/>
          <w:sz w:val="28"/>
          <w:szCs w:val="28"/>
        </w:rPr>
        <w:t>起重操作技能赛项设个人奖，一等奖占比 10%，二等奖占比</w:t>
      </w:r>
    </w:p>
    <w:p w14:paraId="0F4A235B">
      <w:pPr>
        <w:rPr>
          <w:sz w:val="28"/>
          <w:szCs w:val="28"/>
        </w:rPr>
      </w:pPr>
      <w:r>
        <w:rPr>
          <w:rFonts w:hint="eastAsia"/>
          <w:sz w:val="28"/>
          <w:szCs w:val="28"/>
        </w:rPr>
        <w:t>20%，三等奖占比 30%（计算分数时保留小数点后两位）。</w:t>
      </w:r>
    </w:p>
    <w:p w14:paraId="018A7362">
      <w:pPr>
        <w:rPr>
          <w:sz w:val="28"/>
          <w:szCs w:val="28"/>
        </w:rPr>
      </w:pPr>
      <w:r>
        <w:rPr>
          <w:rFonts w:hint="eastAsia"/>
          <w:sz w:val="28"/>
          <w:szCs w:val="28"/>
        </w:rPr>
        <w:t>七、赛项安全</w:t>
      </w:r>
    </w:p>
    <w:p w14:paraId="20BC0B36">
      <w:pPr>
        <w:rPr>
          <w:sz w:val="28"/>
          <w:szCs w:val="28"/>
        </w:rPr>
      </w:pPr>
      <w:r>
        <w:rPr>
          <w:rFonts w:hint="eastAsia"/>
          <w:sz w:val="28"/>
          <w:szCs w:val="28"/>
        </w:rPr>
        <w:t>为确保赛项安全顺利地进行，保障各地参赛队师生的人身安全，及时有效地处理大赛期间突发安全事故，保证大赛安全有序地进行，特制定突发安全保障应急预案。</w:t>
      </w:r>
    </w:p>
    <w:p w14:paraId="5FCDE953">
      <w:pPr>
        <w:rPr>
          <w:sz w:val="28"/>
          <w:szCs w:val="28"/>
        </w:rPr>
      </w:pPr>
      <w:r>
        <w:rPr>
          <w:rFonts w:hint="eastAsia"/>
          <w:sz w:val="28"/>
          <w:szCs w:val="28"/>
        </w:rPr>
        <w:t>（一）组织机构</w:t>
      </w:r>
    </w:p>
    <w:p w14:paraId="7AD3987D">
      <w:pPr>
        <w:rPr>
          <w:sz w:val="28"/>
          <w:szCs w:val="28"/>
        </w:rPr>
      </w:pPr>
      <w:r>
        <w:rPr>
          <w:rFonts w:hint="eastAsia"/>
          <w:sz w:val="28"/>
          <w:szCs w:val="28"/>
        </w:rPr>
        <w:t>1.成立大赛突发安全事故应急工作领导小组，由赛点总指挥任组长，副总指挥任副组长，成员由安保组组长、后勤保障组组长等人员组成。</w:t>
      </w:r>
    </w:p>
    <w:p w14:paraId="574B6571">
      <w:pPr>
        <w:rPr>
          <w:sz w:val="28"/>
          <w:szCs w:val="28"/>
        </w:rPr>
      </w:pPr>
      <w:r>
        <w:rPr>
          <w:rFonts w:hint="eastAsia"/>
          <w:sz w:val="28"/>
          <w:szCs w:val="28"/>
        </w:rPr>
        <w:t>2.大赛突发安全事故应急工作领导小组职责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14:paraId="3004BF42">
      <w:pPr>
        <w:rPr>
          <w:sz w:val="28"/>
          <w:szCs w:val="28"/>
        </w:rPr>
      </w:pPr>
      <w:r>
        <w:rPr>
          <w:rFonts w:hint="eastAsia"/>
          <w:sz w:val="28"/>
          <w:szCs w:val="28"/>
        </w:rPr>
        <w:t>（二）安全事故报告及处理程序</w:t>
      </w:r>
    </w:p>
    <w:p w14:paraId="7F4DF4E5">
      <w:pPr>
        <w:rPr>
          <w:sz w:val="28"/>
          <w:szCs w:val="28"/>
        </w:rPr>
      </w:pPr>
      <w:r>
        <w:rPr>
          <w:rFonts w:hint="eastAsia"/>
          <w:sz w:val="28"/>
          <w:szCs w:val="28"/>
        </w:rPr>
        <w:t>1.大赛过程中如遇突发安全事故后，有关人员必须立即向领导小组报告，并及时向有关部门报案请求援助。</w:t>
      </w:r>
    </w:p>
    <w:p w14:paraId="7828BDF1">
      <w:pPr>
        <w:rPr>
          <w:sz w:val="28"/>
          <w:szCs w:val="28"/>
        </w:rPr>
      </w:pPr>
      <w:r>
        <w:rPr>
          <w:rFonts w:hint="eastAsia"/>
          <w:sz w:val="28"/>
          <w:szCs w:val="28"/>
        </w:rPr>
        <w:t>2.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14:paraId="5E676087">
      <w:pPr>
        <w:rPr>
          <w:sz w:val="28"/>
          <w:szCs w:val="28"/>
        </w:rPr>
      </w:pPr>
      <w:r>
        <w:rPr>
          <w:rFonts w:hint="eastAsia"/>
          <w:sz w:val="28"/>
          <w:szCs w:val="28"/>
        </w:rPr>
        <w:t>3.大赛突发安全事故应急领导小组接到大赛突发安全事故报告后，立即到达事故现场，迅速组织抢救和善后处置，并根据事故情况及时向上级部门汇报。</w:t>
      </w:r>
    </w:p>
    <w:p w14:paraId="5DAEB0C5">
      <w:pPr>
        <w:rPr>
          <w:sz w:val="28"/>
          <w:szCs w:val="28"/>
        </w:rPr>
      </w:pPr>
      <w:r>
        <w:rPr>
          <w:rFonts w:hint="eastAsia"/>
          <w:sz w:val="28"/>
          <w:szCs w:val="28"/>
        </w:rPr>
        <w:t>4.大赛期间遇有突发或紧急情况，有关人员按赛场疏散图指示，由指定专人指引、带领及时做好疏散。</w:t>
      </w:r>
    </w:p>
    <w:p w14:paraId="77257A58">
      <w:pPr>
        <w:rPr>
          <w:sz w:val="28"/>
          <w:szCs w:val="28"/>
        </w:rPr>
      </w:pPr>
      <w:r>
        <w:rPr>
          <w:rFonts w:hint="eastAsia"/>
          <w:sz w:val="28"/>
          <w:szCs w:val="28"/>
        </w:rPr>
        <w:t>（三）大赛突发安全事故应急预案</w:t>
      </w:r>
    </w:p>
    <w:p w14:paraId="74AB1471">
      <w:pPr>
        <w:rPr>
          <w:sz w:val="28"/>
          <w:szCs w:val="28"/>
        </w:rPr>
      </w:pPr>
      <w:r>
        <w:rPr>
          <w:rFonts w:hint="eastAsia"/>
          <w:sz w:val="28"/>
          <w:szCs w:val="28"/>
        </w:rPr>
        <w:t>1.重大火灾事故</w:t>
      </w:r>
    </w:p>
    <w:p w14:paraId="307A4D3C">
      <w:pPr>
        <w:rPr>
          <w:sz w:val="28"/>
          <w:szCs w:val="28"/>
        </w:rPr>
      </w:pPr>
      <w:r>
        <w:rPr>
          <w:rFonts w:hint="eastAsia"/>
          <w:sz w:val="28"/>
          <w:szCs w:val="28"/>
        </w:rPr>
        <w:t>（1）大赛赛场或人员密集场所一旦发生火险后，在场人员应立即报告应急领导小组，并同时拨打 119 报警，及时疏散在场人员有序撤到安全地带，安排做好消防人员车辆迎候。</w:t>
      </w:r>
    </w:p>
    <w:p w14:paraId="43B48154">
      <w:pPr>
        <w:rPr>
          <w:sz w:val="28"/>
          <w:szCs w:val="28"/>
        </w:rPr>
      </w:pPr>
      <w:r>
        <w:rPr>
          <w:rFonts w:hint="eastAsia"/>
          <w:sz w:val="28"/>
          <w:szCs w:val="28"/>
        </w:rPr>
        <w:t>（2）如果发生火灾后，在场人员应避免过度惊慌、盲目乱跑，应按照疏散指示标志、出口通道提示有序逃生，逃生时不可互相拥挤、推搡，不乱喊乱叫。</w:t>
      </w:r>
    </w:p>
    <w:p w14:paraId="01DC6CAF">
      <w:pPr>
        <w:rPr>
          <w:sz w:val="28"/>
          <w:szCs w:val="28"/>
        </w:rPr>
      </w:pPr>
      <w:r>
        <w:rPr>
          <w:rFonts w:hint="eastAsia"/>
          <w:sz w:val="28"/>
          <w:szCs w:val="28"/>
        </w:rPr>
        <w:t>（3）请全体人员在进入人员密集场所时，及时了解应急疏散通道的位置和逃生通道，掌握使用灭火器材方法，不要堵塞消防通道。</w:t>
      </w:r>
    </w:p>
    <w:p w14:paraId="765CA292">
      <w:pPr>
        <w:rPr>
          <w:sz w:val="28"/>
          <w:szCs w:val="28"/>
        </w:rPr>
      </w:pPr>
      <w:r>
        <w:rPr>
          <w:rFonts w:hint="eastAsia"/>
          <w:sz w:val="28"/>
          <w:szCs w:val="28"/>
        </w:rPr>
        <w:t>（4）一旦火险发生后，人员疏散场地为学校操场，安排专人进行现场秩序疏导和维护。</w:t>
      </w:r>
    </w:p>
    <w:p w14:paraId="30C06467">
      <w:pPr>
        <w:rPr>
          <w:sz w:val="28"/>
          <w:szCs w:val="28"/>
        </w:rPr>
      </w:pPr>
      <w:r>
        <w:rPr>
          <w:rFonts w:hint="eastAsia"/>
          <w:sz w:val="28"/>
          <w:szCs w:val="28"/>
        </w:rPr>
        <w:t>2.重大交通安全事故</w:t>
      </w:r>
    </w:p>
    <w:p w14:paraId="3C13B442">
      <w:pPr>
        <w:rPr>
          <w:sz w:val="28"/>
          <w:szCs w:val="28"/>
        </w:rPr>
      </w:pPr>
      <w:r>
        <w:rPr>
          <w:rFonts w:hint="eastAsia"/>
          <w:sz w:val="28"/>
          <w:szCs w:val="28"/>
        </w:rPr>
        <w:t>（1）指挥参赛学生紧急集合疏散至安全地段，迅速将事故信息上报大赛突发安全事故应急领导小组。</w:t>
      </w:r>
    </w:p>
    <w:p w14:paraId="368D6F93">
      <w:pPr>
        <w:rPr>
          <w:sz w:val="28"/>
          <w:szCs w:val="28"/>
        </w:rPr>
      </w:pPr>
      <w:r>
        <w:rPr>
          <w:rFonts w:hint="eastAsia"/>
          <w:sz w:val="28"/>
          <w:szCs w:val="28"/>
        </w:rPr>
        <w:t>（2）要迅速抢救受伤师生，在最短时间内将受伤师生送到就近或指定医院救治，根据情节分别及时报警 110、120 请求援助，并保护好事故现场。</w:t>
      </w:r>
    </w:p>
    <w:p w14:paraId="2F5C3DD3">
      <w:pPr>
        <w:rPr>
          <w:sz w:val="28"/>
          <w:szCs w:val="28"/>
        </w:rPr>
      </w:pPr>
      <w:r>
        <w:rPr>
          <w:rFonts w:hint="eastAsia"/>
          <w:sz w:val="28"/>
          <w:szCs w:val="28"/>
        </w:rPr>
        <w:t>（3）采取有效措施，做好善后处置工作。</w:t>
      </w:r>
    </w:p>
    <w:p w14:paraId="3A91EAC3">
      <w:pPr>
        <w:rPr>
          <w:sz w:val="28"/>
          <w:szCs w:val="28"/>
        </w:rPr>
      </w:pPr>
      <w:r>
        <w:rPr>
          <w:rFonts w:hint="eastAsia"/>
          <w:sz w:val="28"/>
          <w:szCs w:val="28"/>
        </w:rPr>
        <w:t>3.食物中毒安全事故</w:t>
      </w:r>
    </w:p>
    <w:p w14:paraId="24C231DD">
      <w:pPr>
        <w:rPr>
          <w:sz w:val="28"/>
          <w:szCs w:val="28"/>
        </w:rPr>
      </w:pPr>
      <w:r>
        <w:rPr>
          <w:rFonts w:hint="eastAsia"/>
          <w:sz w:val="28"/>
          <w:szCs w:val="28"/>
        </w:rPr>
        <w:t>（1）立即停止配餐餐厅的经营活动，及时向大赛突发安全事故应急领导小组及卫生防疫部门报告，根据情节分别及时报警 110、120 请求援助。</w:t>
      </w:r>
    </w:p>
    <w:p w14:paraId="2C7EB6F1">
      <w:pPr>
        <w:rPr>
          <w:sz w:val="28"/>
          <w:szCs w:val="28"/>
        </w:rPr>
      </w:pPr>
      <w:r>
        <w:rPr>
          <w:rFonts w:hint="eastAsia"/>
          <w:sz w:val="28"/>
          <w:szCs w:val="28"/>
        </w:rPr>
        <w:t>（2）积极协助卫生机构救助病人，需要时协助转送指定医院治疗。</w:t>
      </w:r>
    </w:p>
    <w:p w14:paraId="7C1A02ED">
      <w:pPr>
        <w:rPr>
          <w:sz w:val="28"/>
          <w:szCs w:val="28"/>
        </w:rPr>
      </w:pPr>
      <w:r>
        <w:rPr>
          <w:rFonts w:hint="eastAsia"/>
          <w:sz w:val="28"/>
          <w:szCs w:val="28"/>
        </w:rPr>
        <w:t>（3）封存造成食物中毒或可能导致食物中毒的食品和原料、工具、设备和现场。</w:t>
      </w:r>
    </w:p>
    <w:p w14:paraId="180F77DA">
      <w:pPr>
        <w:rPr>
          <w:sz w:val="28"/>
          <w:szCs w:val="28"/>
        </w:rPr>
      </w:pPr>
      <w:r>
        <w:rPr>
          <w:rFonts w:hint="eastAsia"/>
          <w:sz w:val="28"/>
          <w:szCs w:val="28"/>
        </w:rPr>
        <w:t>（4）配合卫生防疫部门的调查，如实提供有关材料和样品。</w:t>
      </w:r>
    </w:p>
    <w:p w14:paraId="4FCD85DE">
      <w:pPr>
        <w:rPr>
          <w:sz w:val="28"/>
          <w:szCs w:val="28"/>
        </w:rPr>
      </w:pPr>
      <w:r>
        <w:rPr>
          <w:rFonts w:hint="eastAsia"/>
          <w:sz w:val="28"/>
          <w:szCs w:val="28"/>
        </w:rPr>
        <w:t>（5）采取有效措施，做好善后处置工作。</w:t>
      </w:r>
    </w:p>
    <w:p w14:paraId="6EA50AB6">
      <w:pPr>
        <w:rPr>
          <w:sz w:val="28"/>
          <w:szCs w:val="28"/>
        </w:rPr>
      </w:pPr>
      <w:r>
        <w:rPr>
          <w:rFonts w:hint="eastAsia"/>
          <w:sz w:val="28"/>
          <w:szCs w:val="28"/>
        </w:rPr>
        <w:t>4.用电安全事故</w:t>
      </w:r>
    </w:p>
    <w:p w14:paraId="546491FE">
      <w:pPr>
        <w:rPr>
          <w:sz w:val="28"/>
          <w:szCs w:val="28"/>
        </w:rPr>
      </w:pPr>
      <w:r>
        <w:rPr>
          <w:rFonts w:hint="eastAsia"/>
          <w:sz w:val="28"/>
          <w:szCs w:val="28"/>
        </w:rPr>
        <w:t>（1）发现触电事故时，首先应立即切断电源，并控制好大赛现场秩序。</w:t>
      </w:r>
    </w:p>
    <w:p w14:paraId="4091350C">
      <w:pPr>
        <w:rPr>
          <w:sz w:val="28"/>
          <w:szCs w:val="28"/>
        </w:rPr>
      </w:pPr>
      <w:r>
        <w:rPr>
          <w:rFonts w:hint="eastAsia"/>
          <w:sz w:val="28"/>
          <w:szCs w:val="28"/>
        </w:rPr>
        <w:t>（2）对触电者视其情况，应采取有效措施，当场联系现场医护人员实行应急救护，严重者及时拨打 120 请求救援，协助转送附近医院。</w:t>
      </w:r>
    </w:p>
    <w:p w14:paraId="4EA5C82C">
      <w:pPr>
        <w:rPr>
          <w:sz w:val="28"/>
          <w:szCs w:val="28"/>
        </w:rPr>
      </w:pPr>
      <w:r>
        <w:rPr>
          <w:rFonts w:hint="eastAsia"/>
          <w:sz w:val="28"/>
          <w:szCs w:val="28"/>
        </w:rPr>
        <w:t>（3）迅速将事故信息上报大赛突发安全事故应急领导小组。</w:t>
      </w:r>
    </w:p>
    <w:p w14:paraId="0B471478">
      <w:pPr>
        <w:rPr>
          <w:sz w:val="28"/>
          <w:szCs w:val="28"/>
        </w:rPr>
      </w:pPr>
      <w:r>
        <w:rPr>
          <w:rFonts w:hint="eastAsia"/>
          <w:sz w:val="28"/>
          <w:szCs w:val="28"/>
        </w:rPr>
        <w:t>（4）采取有效措施，做好善后处置工作。</w:t>
      </w:r>
    </w:p>
    <w:p w14:paraId="44326C7E">
      <w:pPr>
        <w:rPr>
          <w:sz w:val="28"/>
          <w:szCs w:val="28"/>
        </w:rPr>
      </w:pPr>
      <w:r>
        <w:rPr>
          <w:rFonts w:hint="eastAsia"/>
          <w:sz w:val="28"/>
          <w:szCs w:val="28"/>
        </w:rPr>
        <w:t>5.医疗紧急病情救治</w:t>
      </w:r>
    </w:p>
    <w:p w14:paraId="5E84A46D">
      <w:pPr>
        <w:rPr>
          <w:sz w:val="28"/>
          <w:szCs w:val="28"/>
        </w:rPr>
      </w:pPr>
      <w:r>
        <w:rPr>
          <w:rFonts w:hint="eastAsia"/>
          <w:sz w:val="28"/>
          <w:szCs w:val="28"/>
        </w:rPr>
        <w:t>（1）夏季是传染病多发季节、本次大赛参赛人数多，大赛建立预防为主、防治结合的应急处理机制，保障各地参赛选手和服务人员的身体健康。</w:t>
      </w:r>
    </w:p>
    <w:p w14:paraId="1705D92B">
      <w:pPr>
        <w:rPr>
          <w:sz w:val="28"/>
          <w:szCs w:val="28"/>
        </w:rPr>
      </w:pPr>
      <w:r>
        <w:rPr>
          <w:rFonts w:hint="eastAsia"/>
          <w:sz w:val="28"/>
          <w:szCs w:val="28"/>
        </w:rPr>
        <w:t>（2）大赛场地要做到干净、整洁，场馆内要保持空气流通，预防呼吸道传染病的发生。</w:t>
      </w:r>
    </w:p>
    <w:p w14:paraId="40CC2518">
      <w:pPr>
        <w:rPr>
          <w:sz w:val="28"/>
          <w:szCs w:val="28"/>
        </w:rPr>
      </w:pPr>
      <w:r>
        <w:rPr>
          <w:rFonts w:hint="eastAsia"/>
          <w:sz w:val="28"/>
          <w:szCs w:val="28"/>
        </w:rPr>
        <w:t>（3）建立应急快速反应机制，由专人负责购置必要的急救药品在大赛期间预备使用。如遇特殊情况实施必要的急救措施，并及时与 120 急救中心联系送往医院救治。</w:t>
      </w:r>
    </w:p>
    <w:p w14:paraId="213CC448">
      <w:pPr>
        <w:rPr>
          <w:sz w:val="28"/>
          <w:szCs w:val="28"/>
        </w:rPr>
      </w:pPr>
      <w:r>
        <w:rPr>
          <w:rFonts w:hint="eastAsia"/>
          <w:sz w:val="28"/>
          <w:szCs w:val="28"/>
        </w:rPr>
        <w:t>（4）为了预防流行性病毒的传播，大赛期间设立隔离室，一旦发现疑似症状应以最快的速度进行隔离，排查病情并及时上报大赛突发安全事故应急领导小组。</w:t>
      </w:r>
    </w:p>
    <w:p w14:paraId="518F2481">
      <w:pPr>
        <w:rPr>
          <w:sz w:val="28"/>
          <w:szCs w:val="28"/>
        </w:rPr>
      </w:pPr>
      <w:r>
        <w:rPr>
          <w:rFonts w:hint="eastAsia"/>
          <w:sz w:val="28"/>
          <w:szCs w:val="28"/>
        </w:rPr>
        <w:t>八、竞赛须知</w:t>
      </w:r>
    </w:p>
    <w:p w14:paraId="3C9D16C6">
      <w:pPr>
        <w:rPr>
          <w:sz w:val="28"/>
          <w:szCs w:val="28"/>
        </w:rPr>
      </w:pPr>
      <w:r>
        <w:rPr>
          <w:rFonts w:hint="eastAsia"/>
          <w:sz w:val="28"/>
          <w:szCs w:val="28"/>
        </w:rPr>
        <w:t>（一）参赛队须知</w:t>
      </w:r>
    </w:p>
    <w:p w14:paraId="240ED1F0">
      <w:pPr>
        <w:rPr>
          <w:sz w:val="28"/>
          <w:szCs w:val="28"/>
        </w:rPr>
      </w:pPr>
      <w:r>
        <w:rPr>
          <w:rFonts w:hint="eastAsia"/>
          <w:sz w:val="28"/>
          <w:szCs w:val="28"/>
        </w:rPr>
        <w:t>1.参赛队名称统一使用规定的地区代表队名称，不使用学校或其他组织、团体名称；不接受跨校组队报名。</w:t>
      </w:r>
    </w:p>
    <w:p w14:paraId="1005305F">
      <w:pPr>
        <w:rPr>
          <w:sz w:val="28"/>
          <w:szCs w:val="28"/>
        </w:rPr>
      </w:pPr>
      <w:r>
        <w:rPr>
          <w:rFonts w:hint="eastAsia"/>
          <w:sz w:val="28"/>
          <w:szCs w:val="28"/>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14:paraId="489A2AB2">
      <w:pPr>
        <w:rPr>
          <w:sz w:val="28"/>
          <w:szCs w:val="28"/>
        </w:rPr>
      </w:pPr>
      <w:r>
        <w:rPr>
          <w:rFonts w:hint="eastAsia"/>
          <w:sz w:val="28"/>
          <w:szCs w:val="28"/>
        </w:rPr>
        <w:t>3.参赛队按照大赛赛程安排，凭有效证件，按时参加检录和竞赛，如不能按时参赛以自动弃权处理。凭大赛组委会颁发的参赛证和有效身份证件参加比赛及相关活动。</w:t>
      </w:r>
    </w:p>
    <w:p w14:paraId="320C3B24">
      <w:pPr>
        <w:rPr>
          <w:sz w:val="28"/>
          <w:szCs w:val="28"/>
        </w:rPr>
      </w:pPr>
      <w:r>
        <w:rPr>
          <w:rFonts w:hint="eastAsia"/>
          <w:sz w:val="28"/>
          <w:szCs w:val="28"/>
        </w:rPr>
        <w:t>4.参赛队员统一着装，须符合安全生产及竞赛要求。</w:t>
      </w:r>
    </w:p>
    <w:p w14:paraId="7A1948FC">
      <w:pPr>
        <w:rPr>
          <w:sz w:val="28"/>
          <w:szCs w:val="28"/>
        </w:rPr>
      </w:pPr>
      <w:r>
        <w:rPr>
          <w:rFonts w:hint="eastAsia"/>
          <w:sz w:val="28"/>
          <w:szCs w:val="28"/>
        </w:rPr>
        <w:t>5.参赛队员应自觉遵守赛场纪律，服从裁判、听从指挥、文明竞赛；持证进入赛场，禁止将通讯工具、自编电子或文字资料带入赛场。</w:t>
      </w:r>
    </w:p>
    <w:p w14:paraId="0A153F37">
      <w:pPr>
        <w:rPr>
          <w:sz w:val="28"/>
          <w:szCs w:val="28"/>
        </w:rPr>
      </w:pPr>
      <w:r>
        <w:rPr>
          <w:rFonts w:hint="eastAsia"/>
          <w:sz w:val="28"/>
          <w:szCs w:val="28"/>
        </w:rPr>
        <w:t>6.比赛过程中，选手休息、饮水或去卫生间等所用时间，一律计算在操作时间内。</w:t>
      </w:r>
    </w:p>
    <w:p w14:paraId="1A4D5A33">
      <w:pPr>
        <w:rPr>
          <w:sz w:val="28"/>
          <w:szCs w:val="28"/>
        </w:rPr>
      </w:pPr>
      <w:r>
        <w:rPr>
          <w:rFonts w:hint="eastAsia"/>
          <w:sz w:val="28"/>
          <w:szCs w:val="28"/>
        </w:rPr>
        <w:t>7.参赛队欲提前结束比赛，应向裁判员举手示意，比赛终止时间由裁判员记录，参赛队结束比赛后不得再进行任何操作。</w:t>
      </w:r>
    </w:p>
    <w:p w14:paraId="79A62A3F">
      <w:pPr>
        <w:rPr>
          <w:sz w:val="28"/>
          <w:szCs w:val="28"/>
        </w:rPr>
      </w:pPr>
      <w:r>
        <w:rPr>
          <w:rFonts w:hint="eastAsia"/>
          <w:sz w:val="28"/>
          <w:szCs w:val="28"/>
        </w:rPr>
        <w:t>8.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14:paraId="728B3D12">
      <w:pPr>
        <w:rPr>
          <w:sz w:val="28"/>
          <w:szCs w:val="28"/>
        </w:rPr>
      </w:pPr>
      <w:r>
        <w:rPr>
          <w:rFonts w:hint="eastAsia"/>
          <w:sz w:val="28"/>
          <w:szCs w:val="28"/>
        </w:rPr>
        <w:t>（二）指导教师须知</w:t>
      </w:r>
    </w:p>
    <w:p w14:paraId="0BA85C6A">
      <w:pPr>
        <w:rPr>
          <w:sz w:val="28"/>
          <w:szCs w:val="28"/>
        </w:rPr>
      </w:pPr>
      <w:r>
        <w:rPr>
          <w:rFonts w:hint="eastAsia"/>
          <w:sz w:val="28"/>
          <w:szCs w:val="28"/>
        </w:rPr>
        <w:t>1.指导教师经报名、审核后确定，一经确定不得更换。允许指导教师缺席比赛。</w:t>
      </w:r>
    </w:p>
    <w:p w14:paraId="3B3A7187">
      <w:pPr>
        <w:rPr>
          <w:sz w:val="28"/>
          <w:szCs w:val="28"/>
        </w:rPr>
      </w:pPr>
      <w:r>
        <w:rPr>
          <w:rFonts w:hint="eastAsia"/>
          <w:sz w:val="28"/>
          <w:szCs w:val="28"/>
        </w:rPr>
        <w:t>2.指导教师在进入比赛现场观摩时，应遵守赛场管理须知和赛场纪律。</w:t>
      </w:r>
    </w:p>
    <w:p w14:paraId="3769CF89">
      <w:pPr>
        <w:rPr>
          <w:sz w:val="28"/>
          <w:szCs w:val="28"/>
        </w:rPr>
      </w:pPr>
      <w:r>
        <w:rPr>
          <w:rFonts w:hint="eastAsia"/>
          <w:sz w:val="28"/>
          <w:szCs w:val="28"/>
        </w:rPr>
        <w:t>3.准时参加赛前领队会议，并认真传达落实会议精神，确保准确及时召集本队人员按时到达赛场。</w:t>
      </w:r>
    </w:p>
    <w:p w14:paraId="2B47E9D7">
      <w:pPr>
        <w:rPr>
          <w:sz w:val="28"/>
          <w:szCs w:val="28"/>
        </w:rPr>
      </w:pPr>
      <w:r>
        <w:rPr>
          <w:rFonts w:hint="eastAsia"/>
          <w:sz w:val="28"/>
          <w:szCs w:val="28"/>
        </w:rPr>
        <w:t>4.熟悉竞赛规程和赛项须知，领队负责做好本参赛队比赛期间的管理与组织工作。</w:t>
      </w:r>
    </w:p>
    <w:p w14:paraId="14AF0D4D">
      <w:pPr>
        <w:rPr>
          <w:sz w:val="28"/>
          <w:szCs w:val="28"/>
        </w:rPr>
      </w:pPr>
      <w:r>
        <w:rPr>
          <w:rFonts w:hint="eastAsia"/>
          <w:sz w:val="28"/>
          <w:szCs w:val="28"/>
        </w:rPr>
        <w:t>5.各参赛队领队、指导教师在比赛期间需保持通信畅通。</w:t>
      </w:r>
    </w:p>
    <w:p w14:paraId="20F58832">
      <w:pPr>
        <w:rPr>
          <w:sz w:val="28"/>
          <w:szCs w:val="28"/>
        </w:rPr>
      </w:pPr>
      <w:r>
        <w:rPr>
          <w:rFonts w:hint="eastAsia"/>
          <w:sz w:val="28"/>
          <w:szCs w:val="28"/>
        </w:rPr>
        <w:t>6.贯彻执行大赛各项规定，各参赛队领队、指导教师在比赛前和比赛期间不允许私自接触裁判、与裁判谈论与比赛有关的内容，不得以任何形式影响裁判人员的评判。</w:t>
      </w:r>
    </w:p>
    <w:p w14:paraId="41161329">
      <w:pPr>
        <w:rPr>
          <w:sz w:val="28"/>
          <w:szCs w:val="28"/>
        </w:rPr>
      </w:pPr>
      <w:r>
        <w:rPr>
          <w:rFonts w:hint="eastAsia"/>
          <w:sz w:val="28"/>
          <w:szCs w:val="28"/>
        </w:rPr>
        <w:t>（三）参赛选手须知</w:t>
      </w:r>
    </w:p>
    <w:p w14:paraId="5D943BE1">
      <w:pPr>
        <w:rPr>
          <w:sz w:val="28"/>
          <w:szCs w:val="28"/>
        </w:rPr>
      </w:pPr>
      <w:r>
        <w:rPr>
          <w:rFonts w:hint="eastAsia"/>
          <w:sz w:val="28"/>
          <w:szCs w:val="28"/>
        </w:rPr>
        <w:t>1.严格遵守技能竞赛规则、技能竞赛纪律和安全操作规程，尊重裁判和赛场工作人员，自觉维护赛场秩序。</w:t>
      </w:r>
    </w:p>
    <w:p w14:paraId="3A74ED15">
      <w:pPr>
        <w:rPr>
          <w:sz w:val="28"/>
          <w:szCs w:val="28"/>
        </w:rPr>
      </w:pPr>
      <w:r>
        <w:rPr>
          <w:rFonts w:hint="eastAsia"/>
          <w:sz w:val="28"/>
          <w:szCs w:val="28"/>
        </w:rPr>
        <w:t>2.佩带参赛证件进入比赛场地，并接受裁判的检查。</w:t>
      </w:r>
    </w:p>
    <w:p w14:paraId="711DEB78">
      <w:pPr>
        <w:rPr>
          <w:sz w:val="28"/>
          <w:szCs w:val="28"/>
        </w:rPr>
      </w:pPr>
      <w:r>
        <w:rPr>
          <w:rFonts w:hint="eastAsia"/>
          <w:sz w:val="28"/>
          <w:szCs w:val="28"/>
        </w:rPr>
        <w:t>3.进入赛场前须将手机等通讯工具交赛场相关人员妥善保管。选手不得携带任何纸质资料、通讯工具、电子书、存储设备、照相及录像设备等进赛场，若一经发现取消参赛资格。</w:t>
      </w:r>
    </w:p>
    <w:p w14:paraId="7BE8DF3C">
      <w:pPr>
        <w:rPr>
          <w:sz w:val="28"/>
          <w:szCs w:val="28"/>
        </w:rPr>
      </w:pPr>
      <w:r>
        <w:rPr>
          <w:rFonts w:hint="eastAsia"/>
          <w:sz w:val="28"/>
          <w:szCs w:val="28"/>
        </w:rPr>
        <w:t>4.选手在收到开赛信号前不得开始或启动操作，竞赛过程中不准擅自离开赛场。竞赛结束时间到达，应立即比赛，不得拖延竞赛时间。竞赛完成后必须按裁判要求迅速离开赛场，不得在赛场内滞留。</w:t>
      </w:r>
    </w:p>
    <w:p w14:paraId="6F8AA608">
      <w:pPr>
        <w:rPr>
          <w:sz w:val="28"/>
          <w:szCs w:val="28"/>
        </w:rPr>
      </w:pPr>
      <w:r>
        <w:rPr>
          <w:rFonts w:hint="eastAsia"/>
          <w:sz w:val="28"/>
          <w:szCs w:val="28"/>
        </w:rPr>
        <w:t>5.严禁作弊行为。</w:t>
      </w:r>
    </w:p>
    <w:p w14:paraId="1AC3752A">
      <w:pPr>
        <w:rPr>
          <w:sz w:val="28"/>
          <w:szCs w:val="28"/>
        </w:rPr>
      </w:pPr>
      <w:r>
        <w:rPr>
          <w:rFonts w:hint="eastAsia"/>
          <w:sz w:val="28"/>
          <w:szCs w:val="28"/>
        </w:rPr>
        <w:t>6.爱护竞赛场所的设备、仪器等，不得人为损坏竞赛用仪器设备。</w:t>
      </w:r>
    </w:p>
    <w:p w14:paraId="093A31C0">
      <w:pPr>
        <w:rPr>
          <w:sz w:val="28"/>
          <w:szCs w:val="28"/>
        </w:rPr>
      </w:pPr>
      <w:r>
        <w:rPr>
          <w:rFonts w:hint="eastAsia"/>
          <w:sz w:val="28"/>
          <w:szCs w:val="28"/>
        </w:rPr>
        <w:t>7.比赛过程中，参赛选手须严格遵守操作过程和相关准则，保证设备及人身安全，并接受裁判员的监督和警示；若因设备故障导致选手中断或终止比赛，由大赛裁判长视具体情况做出裁决。</w:t>
      </w:r>
    </w:p>
    <w:p w14:paraId="27B00591">
      <w:pPr>
        <w:rPr>
          <w:sz w:val="28"/>
          <w:szCs w:val="28"/>
        </w:rPr>
      </w:pPr>
      <w:r>
        <w:rPr>
          <w:rFonts w:hint="eastAsia"/>
          <w:sz w:val="28"/>
          <w:szCs w:val="28"/>
        </w:rPr>
        <w:t>8.在比赛过程中，参赛选手由于操作失误导致设备不能正常工作，或造成安全事故不能进行比赛的，将被终止比赛。</w:t>
      </w:r>
    </w:p>
    <w:p w14:paraId="6CCC8CF3">
      <w:pPr>
        <w:rPr>
          <w:sz w:val="28"/>
          <w:szCs w:val="28"/>
        </w:rPr>
      </w:pPr>
      <w:r>
        <w:rPr>
          <w:rFonts w:hint="eastAsia"/>
          <w:sz w:val="28"/>
          <w:szCs w:val="28"/>
        </w:rPr>
        <w:t>（四）工作人员须知</w:t>
      </w:r>
    </w:p>
    <w:p w14:paraId="65D72E92">
      <w:pPr>
        <w:rPr>
          <w:sz w:val="28"/>
          <w:szCs w:val="28"/>
        </w:rPr>
      </w:pPr>
      <w:r>
        <w:rPr>
          <w:rFonts w:hint="eastAsia"/>
          <w:sz w:val="28"/>
          <w:szCs w:val="28"/>
        </w:rPr>
        <w:t>1.工作人员必须服从统一领导，严格遵守竞赛纪律及时间安排，严守工作岗位，不得无故离岗。</w:t>
      </w:r>
    </w:p>
    <w:p w14:paraId="07EB0AC5">
      <w:pPr>
        <w:rPr>
          <w:sz w:val="28"/>
          <w:szCs w:val="28"/>
        </w:rPr>
      </w:pPr>
      <w:r>
        <w:rPr>
          <w:rFonts w:hint="eastAsia"/>
          <w:sz w:val="28"/>
          <w:szCs w:val="28"/>
        </w:rPr>
        <w:t>2.工作人员必须着装整齐，统一佩戴由大赛组委会签发的相应证件，精神饱满、热情服务。</w:t>
      </w:r>
    </w:p>
    <w:p w14:paraId="087945C2">
      <w:pPr>
        <w:rPr>
          <w:sz w:val="28"/>
          <w:szCs w:val="28"/>
        </w:rPr>
      </w:pPr>
      <w:r>
        <w:rPr>
          <w:rFonts w:hint="eastAsia"/>
          <w:sz w:val="28"/>
          <w:szCs w:val="28"/>
        </w:rPr>
        <w:t>3.熟悉赛项指南，严格按照工作程序和有关规定办事，遇突发事件，按照安全工作预案，组织指挥人员疏散，确保人员安全。</w:t>
      </w:r>
    </w:p>
    <w:p w14:paraId="484D8785">
      <w:pPr>
        <w:rPr>
          <w:sz w:val="28"/>
          <w:szCs w:val="28"/>
        </w:rPr>
      </w:pPr>
      <w:r>
        <w:rPr>
          <w:rFonts w:hint="eastAsia"/>
          <w:sz w:val="28"/>
          <w:szCs w:val="28"/>
        </w:rPr>
        <w:t>4.工作人员未经允许不得随意进入比赛现场。</w:t>
      </w:r>
    </w:p>
    <w:p w14:paraId="253AFD20">
      <w:pPr>
        <w:rPr>
          <w:sz w:val="28"/>
          <w:szCs w:val="28"/>
        </w:rPr>
      </w:pPr>
      <w:r>
        <w:rPr>
          <w:rFonts w:hint="eastAsia"/>
          <w:sz w:val="28"/>
          <w:szCs w:val="28"/>
        </w:rPr>
        <w:t>5.选手提问，经允许后，可以提问不清楚的问题，裁判人员须正面回答。</w:t>
      </w:r>
    </w:p>
    <w:p w14:paraId="6368DE4F">
      <w:pPr>
        <w:rPr>
          <w:sz w:val="28"/>
          <w:szCs w:val="28"/>
        </w:rPr>
      </w:pPr>
      <w:r>
        <w:rPr>
          <w:rFonts w:hint="eastAsia"/>
          <w:sz w:val="28"/>
          <w:szCs w:val="28"/>
        </w:rPr>
        <w:t>6.赛场内保持安静，不准吸烟。</w:t>
      </w:r>
    </w:p>
    <w:p w14:paraId="775397C9">
      <w:pPr>
        <w:rPr>
          <w:sz w:val="28"/>
          <w:szCs w:val="28"/>
        </w:rPr>
      </w:pPr>
      <w:r>
        <w:rPr>
          <w:rFonts w:hint="eastAsia"/>
          <w:sz w:val="28"/>
          <w:szCs w:val="28"/>
        </w:rPr>
        <w:t>7.各赛场除裁判、赛场配备的工作人员以外，其他人员在竞赛时未经允许不得进入赛场。</w:t>
      </w:r>
    </w:p>
    <w:p w14:paraId="63A87F19">
      <w:pPr>
        <w:rPr>
          <w:sz w:val="28"/>
          <w:szCs w:val="28"/>
        </w:rPr>
      </w:pPr>
      <w:r>
        <w:rPr>
          <w:rFonts w:hint="eastAsia"/>
          <w:sz w:val="28"/>
          <w:szCs w:val="28"/>
        </w:rPr>
        <w:t>8.新闻媒体等进入赛场必须经过大赛组委会允许，并且听从现场工作人员的安排和管理，不能影响竞赛进行。</w:t>
      </w:r>
    </w:p>
    <w:p w14:paraId="491D682D">
      <w:pPr>
        <w:rPr>
          <w:sz w:val="28"/>
          <w:szCs w:val="28"/>
        </w:rPr>
      </w:pPr>
      <w:r>
        <w:rPr>
          <w:rFonts w:hint="eastAsia"/>
          <w:sz w:val="28"/>
          <w:szCs w:val="28"/>
        </w:rPr>
        <w:t>9.负责各自赛区的裁判员和工作人员不得随意进入其它赛区。</w:t>
      </w:r>
    </w:p>
    <w:p w14:paraId="0CE3D09B">
      <w:pPr>
        <w:rPr>
          <w:sz w:val="28"/>
          <w:szCs w:val="28"/>
        </w:rPr>
      </w:pPr>
      <w:r>
        <w:rPr>
          <w:rFonts w:hint="eastAsia"/>
          <w:sz w:val="28"/>
          <w:szCs w:val="28"/>
        </w:rPr>
        <w:t>九、申诉与仲裁</w:t>
      </w:r>
    </w:p>
    <w:p w14:paraId="451C0DA3">
      <w:pPr>
        <w:rPr>
          <w:sz w:val="28"/>
          <w:szCs w:val="28"/>
        </w:rPr>
      </w:pPr>
      <w:r>
        <w:rPr>
          <w:rFonts w:hint="eastAsia"/>
          <w:sz w:val="28"/>
          <w:szCs w:val="28"/>
        </w:rPr>
        <w:t>1.各参赛队对不符合大赛和赛项规程规定的仪器、设备、材料、物件、计算机软硬件、竞赛使用工具、用品，竞赛执裁、赛场管理、竞赛成绩，以及工作人员的不规范行为等，可向赛项仲裁组提出申诉。</w:t>
      </w:r>
    </w:p>
    <w:p w14:paraId="5A7DA1E8">
      <w:pPr>
        <w:rPr>
          <w:sz w:val="28"/>
          <w:szCs w:val="28"/>
        </w:rPr>
      </w:pPr>
      <w:r>
        <w:rPr>
          <w:rFonts w:hint="eastAsia"/>
          <w:sz w:val="28"/>
          <w:szCs w:val="28"/>
        </w:rPr>
        <w:t>2.申诉主体为参赛队领队。</w:t>
      </w:r>
    </w:p>
    <w:p w14:paraId="0F648454">
      <w:pPr>
        <w:rPr>
          <w:sz w:val="28"/>
          <w:szCs w:val="28"/>
        </w:rPr>
      </w:pPr>
      <w:r>
        <w:rPr>
          <w:rFonts w:hint="eastAsia"/>
          <w:sz w:val="28"/>
          <w:szCs w:val="28"/>
        </w:rPr>
        <w:t>3.申诉启动时，参赛队向赛项仲裁工作组递交领队亲笔签字同意的书面报告。书面报告应对申诉事件的现象、发生时间、涉及人员、申诉依据等进行充分、实事求是的叙述。非书面申诉不予受理。</w:t>
      </w:r>
    </w:p>
    <w:p w14:paraId="57351D0E">
      <w:pPr>
        <w:rPr>
          <w:sz w:val="28"/>
          <w:szCs w:val="28"/>
        </w:rPr>
      </w:pPr>
      <w:r>
        <w:rPr>
          <w:rFonts w:hint="eastAsia"/>
          <w:sz w:val="28"/>
          <w:szCs w:val="28"/>
        </w:rPr>
        <w:t>4.申诉应在比赛结束后 2 小时内向赛项仲裁工作组提出。超过时效不予受理。</w:t>
      </w:r>
    </w:p>
    <w:p w14:paraId="422BBDB5">
      <w:pPr>
        <w:rPr>
          <w:sz w:val="28"/>
          <w:szCs w:val="28"/>
        </w:rPr>
      </w:pPr>
      <w:r>
        <w:rPr>
          <w:rFonts w:hint="eastAsia"/>
          <w:sz w:val="28"/>
          <w:szCs w:val="28"/>
        </w:rPr>
        <w:t>5．赛项仲裁工作组在接到申诉报告后的 2 小时内组织复议，并及时将复议结果以书面形式告知申诉方。申诉方对复议结果仍有异议，可由省（市）领队向赛区仲裁委员会提出申诉。赛区仲裁委员会的仲裁结果为最终结果。</w:t>
      </w:r>
    </w:p>
    <w:p w14:paraId="0286BBB1">
      <w:pPr>
        <w:rPr>
          <w:sz w:val="28"/>
          <w:szCs w:val="28"/>
        </w:rPr>
      </w:pPr>
      <w:r>
        <w:rPr>
          <w:rFonts w:hint="eastAsia"/>
          <w:sz w:val="28"/>
          <w:szCs w:val="28"/>
        </w:rPr>
        <w:t>6.申诉方不得以任何理由拒绝接收仲裁结果，不得以任何理由采取过激行为扰乱赛场秩序。仲裁结果由申诉人签收，不能代收，如在约定时间和地点申诉人离开，视为自行放弃申诉。</w:t>
      </w:r>
    </w:p>
    <w:p w14:paraId="127DC7F0">
      <w:pPr>
        <w:rPr>
          <w:sz w:val="28"/>
          <w:szCs w:val="28"/>
        </w:rPr>
      </w:pPr>
      <w:r>
        <w:rPr>
          <w:rFonts w:hint="eastAsia"/>
          <w:sz w:val="28"/>
          <w:szCs w:val="28"/>
        </w:rPr>
        <w:t>7.申诉方可随时提出放弃申诉。</w:t>
      </w:r>
    </w:p>
    <w:p w14:paraId="282B2100"/>
    <w:p w14:paraId="54305942"/>
    <w:p w14:paraId="24F50AAB"/>
    <w:p w14:paraId="08DB9890"/>
    <w:p w14:paraId="6098ED10"/>
    <w:p w14:paraId="3A9DED71"/>
    <w:p w14:paraId="560E429C"/>
    <w:p w14:paraId="7F0AAA84"/>
    <w:p w14:paraId="5E3C3286"/>
    <w:p w14:paraId="51CF5C1D"/>
    <w:p w14:paraId="4BA0116F"/>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YxOTBmMTAyNmI1Y2Q0MjU3YzJkYzRhOTU2YzcifQ=="/>
  </w:docVars>
  <w:rsids>
    <w:rsidRoot w:val="00720A0C"/>
    <w:rsid w:val="000100FD"/>
    <w:rsid w:val="00153D11"/>
    <w:rsid w:val="00157405"/>
    <w:rsid w:val="002415E0"/>
    <w:rsid w:val="00285147"/>
    <w:rsid w:val="003C76B9"/>
    <w:rsid w:val="00433BEF"/>
    <w:rsid w:val="004E1176"/>
    <w:rsid w:val="00580396"/>
    <w:rsid w:val="006710A0"/>
    <w:rsid w:val="006C7A9E"/>
    <w:rsid w:val="00712D06"/>
    <w:rsid w:val="00714ECA"/>
    <w:rsid w:val="00720A0C"/>
    <w:rsid w:val="00750ADA"/>
    <w:rsid w:val="00752C12"/>
    <w:rsid w:val="00760D36"/>
    <w:rsid w:val="00836C5C"/>
    <w:rsid w:val="00873862"/>
    <w:rsid w:val="009431D6"/>
    <w:rsid w:val="009C5F20"/>
    <w:rsid w:val="009C7E40"/>
    <w:rsid w:val="00A24071"/>
    <w:rsid w:val="00A25D09"/>
    <w:rsid w:val="00AD08FA"/>
    <w:rsid w:val="00AF13AA"/>
    <w:rsid w:val="00B15734"/>
    <w:rsid w:val="00C2406A"/>
    <w:rsid w:val="00CA1261"/>
    <w:rsid w:val="00CE61AF"/>
    <w:rsid w:val="00D56064"/>
    <w:rsid w:val="00D922F7"/>
    <w:rsid w:val="00E11C85"/>
    <w:rsid w:val="00E20C31"/>
    <w:rsid w:val="00E62AFE"/>
    <w:rsid w:val="158F40CF"/>
    <w:rsid w:val="295A08AB"/>
    <w:rsid w:val="34D449C8"/>
    <w:rsid w:val="4EAF7248"/>
    <w:rsid w:val="5B8E285C"/>
    <w:rsid w:val="7C16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uiPriority w:val="99"/>
    <w:rPr>
      <w:kern w:val="2"/>
      <w:sz w:val="18"/>
      <w:szCs w:val="18"/>
    </w:rPr>
  </w:style>
  <w:style w:type="character" w:customStyle="1" w:styleId="9">
    <w:name w:val="页眉 Char"/>
    <w:basedOn w:val="7"/>
    <w:link w:val="4"/>
    <w:uiPriority w:val="99"/>
    <w:rPr>
      <w:kern w:val="2"/>
      <w:sz w:val="18"/>
      <w:szCs w:val="18"/>
    </w:rPr>
  </w:style>
  <w:style w:type="character" w:customStyle="1" w:styleId="10">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5431</Words>
  <Characters>5624</Characters>
  <Lines>42</Lines>
  <Paragraphs>11</Paragraphs>
  <TotalTime>998</TotalTime>
  <ScaleCrop>false</ScaleCrop>
  <LinksUpToDate>false</LinksUpToDate>
  <CharactersWithSpaces>5699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2025-06-04T08:31:00Z</dcterms:created>
  <dc:creator>个人用户</dc:creator>
  <cp:lastModifiedBy>Administrator</cp:lastModifiedBy>
  <cp:lastPrinted>2025-06-04T02:55:00Z</cp:lastPrinted>
  <dcterms:modified xsi:type="dcterms:W3CDTF">2025-06-12T10:58:58Z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6308AA15708942F1A3726F0EFA9DF5D6_12</vt:lpwstr>
  </property>
  <property fmtid="{D5CDD505-2E9C-101B-9397-08002B2CF9AE}" pid="4" name="KSOTemplateDocerSaveRecord">
    <vt:lpwstr>eyJoZGlkIjoiODNiZGYxOTBmMTAyNmI1Y2Q0MjU3YzJkYzRhOTU2YzcifQ==</vt:lpwstr>
  </property>
</Properties>
</file>