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cs="宋体" w:asciiTheme="minorEastAsia" w:hAnsiTheme="minorEastAsia" w:eastAsiaTheme="minorEastAsia"/>
          <w:b/>
          <w:sz w:val="48"/>
          <w:szCs w:val="32"/>
        </w:rPr>
      </w:pPr>
      <w:r>
        <w:rPr>
          <w:rFonts w:hint="eastAsia" w:cs="宋体" w:asciiTheme="minorEastAsia" w:hAnsiTheme="minorEastAsia" w:eastAsiaTheme="minorEastAsia"/>
          <w:b/>
          <w:sz w:val="48"/>
          <w:szCs w:val="32"/>
        </w:rPr>
        <w:t>2024年唐山市中等职业学校技能竞赛</w:t>
      </w: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r>
        <w:rPr>
          <w:rFonts w:cs="宋体" w:asciiTheme="minorEastAsia" w:hAnsiTheme="minorEastAsia" w:eastAsiaTheme="minorEastAsia"/>
          <w:b/>
          <w:sz w:val="52"/>
          <w:szCs w:val="36"/>
        </w:rPr>
        <w:t>物联网应用与</w:t>
      </w:r>
      <w:r>
        <w:rPr>
          <w:rFonts w:hint="eastAsia" w:cs="宋体" w:asciiTheme="minorEastAsia" w:hAnsiTheme="minorEastAsia" w:eastAsiaTheme="minorEastAsia"/>
          <w:b/>
          <w:sz w:val="52"/>
          <w:szCs w:val="36"/>
        </w:rPr>
        <w:t>服务</w:t>
      </w: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赛</w:t>
      </w: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项</w:t>
      </w: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规</w:t>
      </w: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ascii="Arial Narrow" w:hAnsi="黑体" w:eastAsia="黑体" w:cs="宋体"/>
          <w:b/>
          <w:sz w:val="36"/>
          <w:szCs w:val="36"/>
        </w:rPr>
      </w:pPr>
      <w:r>
        <w:rPr>
          <w:rFonts w:hint="eastAsia" w:cs="宋体" w:asciiTheme="minorEastAsia" w:hAnsiTheme="minorEastAsia" w:eastAsiaTheme="minorEastAsia"/>
          <w:b/>
          <w:sz w:val="52"/>
          <w:szCs w:val="36"/>
        </w:rPr>
        <w:t>程</w:t>
      </w:r>
    </w:p>
    <w:p>
      <w:pPr>
        <w:widowControl/>
        <w:jc w:val="left"/>
        <w:rPr>
          <w:rFonts w:ascii="Arial Narrow" w:hAnsi="黑体" w:eastAsia="黑体" w:cs="宋体"/>
          <w:b/>
          <w:sz w:val="36"/>
          <w:szCs w:val="36"/>
        </w:rPr>
      </w:pPr>
      <w:r>
        <w:rPr>
          <w:rFonts w:ascii="Arial Narrow" w:hAnsi="黑体" w:eastAsia="黑体" w:cs="宋体"/>
          <w:b/>
          <w:sz w:val="36"/>
          <w:szCs w:val="36"/>
        </w:rPr>
        <w:br w:type="page"/>
      </w:r>
    </w:p>
    <w:p>
      <w:pPr>
        <w:pStyle w:val="2"/>
        <w:rPr>
          <w:rFonts w:ascii="仿宋_GB2312" w:hAnsi="仿宋_GB2312" w:eastAsia="仿宋"/>
          <w:sz w:val="28"/>
          <w:szCs w:val="28"/>
        </w:rPr>
      </w:pPr>
      <w:bookmarkStart w:id="0" w:name="_Toc382406748"/>
      <w:r>
        <w:rPr>
          <w:rFonts w:ascii="Arial Narrow" w:hAnsi="Arial Narrow" w:eastAsia="仿宋_GB2312"/>
          <w:bCs w:val="0"/>
          <w:kern w:val="2"/>
          <w:sz w:val="30"/>
          <w:szCs w:val="30"/>
        </w:rPr>
        <w:t>一、赛项名称</w:t>
      </w:r>
      <w:bookmarkEnd w:id="0"/>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赛项名称：物联网应用与</w:t>
      </w:r>
      <w:r>
        <w:rPr>
          <w:rFonts w:ascii="Arial Narrow" w:hAnsi="Arial Narrow" w:eastAsia="仿宋_GB2312" w:cs="宋体"/>
          <w:sz w:val="28"/>
          <w:szCs w:val="28"/>
        </w:rPr>
        <w:t>服务</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英文名</w:t>
      </w:r>
      <w:r>
        <w:rPr>
          <w:rFonts w:hint="eastAsia" w:cs="宋体" w:asciiTheme="minorEastAsia" w:hAnsiTheme="minorEastAsia" w:eastAsiaTheme="minorEastAsia"/>
          <w:sz w:val="28"/>
          <w:szCs w:val="28"/>
        </w:rPr>
        <w:t>称：</w:t>
      </w:r>
      <w:r>
        <w:rPr>
          <w:rFonts w:cs="宋体" w:asciiTheme="minorEastAsia" w:hAnsiTheme="minorEastAsia" w:eastAsiaTheme="minorEastAsia"/>
          <w:sz w:val="28"/>
          <w:szCs w:val="28"/>
        </w:rPr>
        <w:t>IoT Applications and Services</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赛项组别：中职组</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赛项归属产业：电子信息产业</w:t>
      </w:r>
    </w:p>
    <w:p>
      <w:pPr>
        <w:pStyle w:val="2"/>
        <w:rPr>
          <w:rFonts w:ascii="Arial Narrow" w:hAnsi="Arial Narrow" w:eastAsia="仿宋_GB2312"/>
          <w:bCs w:val="0"/>
          <w:kern w:val="2"/>
          <w:sz w:val="30"/>
          <w:szCs w:val="30"/>
        </w:rPr>
      </w:pPr>
      <w:bookmarkStart w:id="1" w:name="_Toc382406749"/>
      <w:r>
        <w:rPr>
          <w:rFonts w:hint="eastAsia" w:ascii="Arial Narrow" w:hAnsi="Arial Narrow" w:eastAsia="仿宋_GB2312"/>
          <w:bCs w:val="0"/>
          <w:kern w:val="2"/>
          <w:sz w:val="30"/>
          <w:szCs w:val="30"/>
        </w:rPr>
        <w:t>二、竞赛目的</w:t>
      </w:r>
      <w:bookmarkEnd w:id="1"/>
    </w:p>
    <w:p>
      <w:pPr>
        <w:widowControl/>
        <w:snapToGrid w:val="0"/>
        <w:spacing w:line="560" w:lineRule="exact"/>
        <w:ind w:firstLine="560" w:firstLineChars="200"/>
        <w:rPr>
          <w:rFonts w:ascii="Arial Narrow" w:hAnsi="Arial Narrow" w:eastAsia="仿宋_GB2312" w:cs="宋体"/>
          <w:sz w:val="28"/>
          <w:szCs w:val="28"/>
        </w:rPr>
      </w:pPr>
      <w:r>
        <w:rPr>
          <w:rFonts w:hint="eastAsia" w:ascii="仿宋_GB2312" w:hAnsi="仿宋" w:eastAsia="仿宋_GB2312"/>
          <w:kern w:val="0"/>
          <w:sz w:val="28"/>
          <w:szCs w:val="28"/>
        </w:rPr>
        <w:t>物联网应用与服务赛项致力于全面推动人才培养、产业发展、国家战略和创新融合，贯彻落实《国家职业教育改革实施方案》《关于推动现代职业教育高质量发展的意见》、全国职业教育大会精神和国家新职业教育法，服务国家科技创新、产业结构优化、国际竞争力提升和国家战略实施，探索新技术、新产业、新业态和新模式的创新融合，通过融入物联网行业发展的最新技术、创新应用和职业技能最新标准，产教融合、协同育人，引领职业院校物联网技术应用专业建设，推进“岗课赛证”育人模式改革，推动物联网“双师型”师资队伍建设，促进职普融通、产教融合、科教融汇，优化职业教育类型定位，提升专业人才培养质量，大力培养适应我国经济与社会发展的能从事物联网设备安装与调试、物联网系统运行与维护、物联网系统监控、物联网产品制造与测试、物联网项目辅助开发和售后技术支持的物联网技术技能型人才，为赋能产业转型升级，推动我国数字经济发展提供人才支持。</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三、竞赛内容</w:t>
      </w:r>
    </w:p>
    <w:p>
      <w:pPr>
        <w:spacing w:line="360" w:lineRule="auto"/>
        <w:ind w:right="210" w:rightChars="100" w:firstLine="420"/>
        <w:jc w:val="left"/>
        <w:rPr>
          <w:rFonts w:eastAsia="楷体"/>
          <w:b/>
          <w:sz w:val="28"/>
          <w:szCs w:val="36"/>
        </w:rPr>
      </w:pPr>
      <w:r>
        <w:rPr>
          <w:rFonts w:hint="eastAsia" w:eastAsia="楷体"/>
          <w:b/>
          <w:sz w:val="32"/>
          <w:szCs w:val="40"/>
        </w:rPr>
        <w:t>（一）赛项考查的技术技能和涵盖的职业典型工作任务</w:t>
      </w:r>
      <w:r>
        <w:rPr>
          <w:rFonts w:eastAsia="楷体"/>
          <w:b/>
          <w:sz w:val="28"/>
          <w:szCs w:val="36"/>
        </w:rPr>
        <w:t xml:space="preserve">  </w:t>
      </w:r>
    </w:p>
    <w:p>
      <w:pPr>
        <w:spacing w:line="600" w:lineRule="exact"/>
        <w:ind w:firstLine="560" w:firstLineChars="200"/>
        <w:rPr>
          <w:rFonts w:eastAsia="仿宋_GB2312"/>
          <w:sz w:val="28"/>
          <w:szCs w:val="36"/>
        </w:rPr>
      </w:pPr>
      <w:r>
        <w:rPr>
          <w:rFonts w:hint="eastAsia" w:eastAsia="仿宋_GB2312"/>
          <w:sz w:val="28"/>
          <w:szCs w:val="36"/>
        </w:rPr>
        <w:t>本赛项通过还原真实的物联网应用场景，体现完整任务，主要考查选手传感器应用、网络通信等方面的知识；物联网生产施工、物联技术服务等方面的能力；职业道德、工作态度、人际交往、团队合作、工匠精神等方面的素养。同时，结合农业、交通、市政、医疗、能源等领域智能化应用，明确行业实际需求，创造性地利用竞赛技术平台资源，围绕问题开发创意，创新解决方案，进行真实项目的物联网工程设计与实施。</w:t>
      </w:r>
    </w:p>
    <w:p>
      <w:pPr>
        <w:spacing w:line="600" w:lineRule="exact"/>
        <w:ind w:firstLine="560" w:firstLineChars="200"/>
        <w:rPr>
          <w:rFonts w:eastAsia="仿宋_GB2312"/>
          <w:sz w:val="28"/>
          <w:szCs w:val="36"/>
        </w:rPr>
      </w:pPr>
      <w:r>
        <w:rPr>
          <w:rFonts w:hint="eastAsia" w:eastAsia="仿宋_GB2312"/>
          <w:sz w:val="28"/>
          <w:szCs w:val="36"/>
        </w:rPr>
        <w:t>本赛项分为三个模块，模块</w:t>
      </w:r>
      <w:r>
        <w:rPr>
          <w:rFonts w:eastAsia="仿宋_GB2312"/>
          <w:sz w:val="28"/>
          <w:szCs w:val="36"/>
        </w:rPr>
        <w:t>A</w:t>
      </w:r>
      <w:r>
        <w:rPr>
          <w:rFonts w:hint="eastAsia" w:eastAsia="仿宋_GB2312"/>
          <w:sz w:val="28"/>
          <w:szCs w:val="36"/>
        </w:rPr>
        <w:t>是物联网工程实施与网络搭建，占总成绩的</w:t>
      </w:r>
      <w:r>
        <w:rPr>
          <w:rFonts w:eastAsia="仿宋_GB2312"/>
          <w:sz w:val="28"/>
          <w:szCs w:val="36"/>
        </w:rPr>
        <w:t>50%</w:t>
      </w:r>
      <w:r>
        <w:rPr>
          <w:rFonts w:hint="eastAsia" w:eastAsia="仿宋_GB2312"/>
          <w:sz w:val="28"/>
          <w:szCs w:val="36"/>
        </w:rPr>
        <w:t>；模块</w:t>
      </w:r>
      <w:r>
        <w:rPr>
          <w:rFonts w:eastAsia="仿宋_GB2312"/>
          <w:sz w:val="28"/>
          <w:szCs w:val="36"/>
        </w:rPr>
        <w:t>B</w:t>
      </w:r>
      <w:r>
        <w:rPr>
          <w:rFonts w:hint="eastAsia" w:eastAsia="仿宋_GB2312"/>
          <w:sz w:val="28"/>
          <w:szCs w:val="36"/>
        </w:rPr>
        <w:t>是物联网应用部署与技术服务，占总成绩</w:t>
      </w:r>
      <w:r>
        <w:rPr>
          <w:rFonts w:eastAsia="仿宋_GB2312"/>
          <w:sz w:val="28"/>
          <w:szCs w:val="36"/>
        </w:rPr>
        <w:t>30%</w:t>
      </w:r>
      <w:r>
        <w:rPr>
          <w:rFonts w:hint="eastAsia" w:eastAsia="仿宋_GB2312"/>
          <w:sz w:val="28"/>
          <w:szCs w:val="36"/>
        </w:rPr>
        <w:t>；模块</w:t>
      </w:r>
      <w:r>
        <w:rPr>
          <w:rFonts w:eastAsia="仿宋_GB2312"/>
          <w:sz w:val="28"/>
          <w:szCs w:val="36"/>
        </w:rPr>
        <w:t>C</w:t>
      </w:r>
      <w:r>
        <w:rPr>
          <w:rFonts w:hint="eastAsia" w:eastAsia="仿宋_GB2312"/>
          <w:sz w:val="28"/>
          <w:szCs w:val="36"/>
        </w:rPr>
        <w:t>是物联网辅助开发和调试，占总成绩的</w:t>
      </w:r>
      <w:r>
        <w:rPr>
          <w:rFonts w:eastAsia="仿宋_GB2312"/>
          <w:sz w:val="28"/>
          <w:szCs w:val="36"/>
        </w:rPr>
        <w:t>20%</w:t>
      </w:r>
      <w:r>
        <w:rPr>
          <w:rFonts w:hint="eastAsia" w:eastAsia="仿宋_GB2312"/>
          <w:sz w:val="28"/>
          <w:szCs w:val="36"/>
        </w:rPr>
        <w:t>。涵盖的职业典型工作任务包括：</w:t>
      </w:r>
    </w:p>
    <w:p>
      <w:pPr>
        <w:spacing w:line="600" w:lineRule="exact"/>
        <w:ind w:firstLine="560" w:firstLineChars="200"/>
        <w:rPr>
          <w:rFonts w:eastAsia="仿宋_GB2312"/>
          <w:sz w:val="28"/>
          <w:szCs w:val="36"/>
        </w:rPr>
      </w:pPr>
      <w:r>
        <w:rPr>
          <w:rFonts w:eastAsia="仿宋_GB2312"/>
          <w:sz w:val="28"/>
          <w:szCs w:val="36"/>
        </w:rPr>
        <w:t>1.</w:t>
      </w:r>
      <w:r>
        <w:rPr>
          <w:rFonts w:hint="eastAsia" w:eastAsia="仿宋_GB2312"/>
          <w:sz w:val="28"/>
          <w:szCs w:val="36"/>
        </w:rPr>
        <w:t>建立物联网设备与设备、设备与网络的连接；</w:t>
      </w:r>
    </w:p>
    <w:p>
      <w:pPr>
        <w:spacing w:line="600" w:lineRule="exact"/>
        <w:ind w:firstLine="560" w:firstLineChars="200"/>
        <w:rPr>
          <w:rFonts w:eastAsia="仿宋_GB2312"/>
          <w:sz w:val="28"/>
          <w:szCs w:val="36"/>
        </w:rPr>
      </w:pPr>
      <w:r>
        <w:rPr>
          <w:rFonts w:eastAsia="仿宋_GB2312"/>
          <w:sz w:val="28"/>
          <w:szCs w:val="36"/>
        </w:rPr>
        <w:t>2.</w:t>
      </w:r>
      <w:r>
        <w:rPr>
          <w:rFonts w:hint="eastAsia" w:eastAsia="仿宋_GB2312"/>
          <w:sz w:val="28"/>
          <w:szCs w:val="36"/>
        </w:rPr>
        <w:t>布设、检修、维护信息通信线缆和无线网络，进行网络系统的局部调整设计和组网；</w:t>
      </w:r>
    </w:p>
    <w:p>
      <w:pPr>
        <w:spacing w:line="600" w:lineRule="exact"/>
        <w:ind w:firstLine="560" w:firstLineChars="200"/>
        <w:rPr>
          <w:rFonts w:eastAsia="仿宋_GB2312"/>
          <w:sz w:val="28"/>
          <w:szCs w:val="36"/>
        </w:rPr>
      </w:pPr>
      <w:r>
        <w:rPr>
          <w:rFonts w:eastAsia="仿宋_GB2312"/>
          <w:sz w:val="28"/>
          <w:szCs w:val="36"/>
        </w:rPr>
        <w:t>3.</w:t>
      </w:r>
      <w:r>
        <w:rPr>
          <w:rFonts w:hint="eastAsia" w:eastAsia="仿宋_GB2312"/>
          <w:sz w:val="28"/>
          <w:szCs w:val="36"/>
        </w:rPr>
        <w:t>安装测试、维护、管理综合布线系统；</w:t>
      </w:r>
    </w:p>
    <w:p>
      <w:pPr>
        <w:spacing w:line="600" w:lineRule="exact"/>
        <w:ind w:firstLine="560" w:firstLineChars="200"/>
        <w:rPr>
          <w:rFonts w:eastAsia="仿宋_GB2312"/>
          <w:sz w:val="28"/>
          <w:szCs w:val="36"/>
        </w:rPr>
      </w:pPr>
      <w:r>
        <w:rPr>
          <w:rFonts w:eastAsia="仿宋_GB2312"/>
          <w:sz w:val="28"/>
          <w:szCs w:val="36"/>
        </w:rPr>
        <w:t>4.</w:t>
      </w:r>
      <w:r>
        <w:rPr>
          <w:rFonts w:hint="eastAsia" w:eastAsia="仿宋_GB2312"/>
          <w:sz w:val="28"/>
          <w:szCs w:val="36"/>
        </w:rPr>
        <w:t>操作、调试、维护物联网系统；</w:t>
      </w:r>
    </w:p>
    <w:p>
      <w:pPr>
        <w:spacing w:line="600" w:lineRule="exact"/>
        <w:ind w:firstLine="560" w:firstLineChars="200"/>
        <w:rPr>
          <w:rFonts w:eastAsia="仿宋_GB2312"/>
          <w:sz w:val="28"/>
          <w:szCs w:val="36"/>
        </w:rPr>
      </w:pPr>
      <w:r>
        <w:rPr>
          <w:rFonts w:eastAsia="仿宋_GB2312"/>
          <w:sz w:val="28"/>
          <w:szCs w:val="36"/>
        </w:rPr>
        <w:t>5.</w:t>
      </w:r>
      <w:r>
        <w:rPr>
          <w:rFonts w:hint="eastAsia" w:eastAsia="仿宋_GB2312"/>
          <w:sz w:val="28"/>
          <w:szCs w:val="36"/>
        </w:rPr>
        <w:t>物联网辅助开发与调试。</w:t>
      </w:r>
    </w:p>
    <w:p>
      <w:pPr>
        <w:spacing w:line="360" w:lineRule="auto"/>
        <w:ind w:right="210" w:rightChars="100" w:firstLine="420"/>
        <w:jc w:val="left"/>
        <w:rPr>
          <w:rFonts w:eastAsia="楷体"/>
          <w:b/>
          <w:sz w:val="32"/>
          <w:szCs w:val="40"/>
        </w:rPr>
      </w:pPr>
      <w:r>
        <w:rPr>
          <w:rFonts w:hint="eastAsia" w:eastAsia="楷体"/>
          <w:b/>
          <w:sz w:val="32"/>
          <w:szCs w:val="40"/>
        </w:rPr>
        <w:t>（二）检验选手核心能力与职业综合能力</w:t>
      </w:r>
    </w:p>
    <w:p>
      <w:pPr>
        <w:spacing w:line="360" w:lineRule="auto"/>
        <w:ind w:right="210" w:rightChars="100" w:firstLine="562" w:firstLineChars="200"/>
        <w:jc w:val="left"/>
        <w:rPr>
          <w:rFonts w:eastAsia="仿宋_GB2312"/>
          <w:sz w:val="28"/>
          <w:szCs w:val="36"/>
        </w:rPr>
      </w:pPr>
      <w:r>
        <w:rPr>
          <w:rFonts w:eastAsia="仿宋_GB2312"/>
          <w:b/>
          <w:sz w:val="28"/>
          <w:szCs w:val="36"/>
        </w:rPr>
        <w:t>1.</w:t>
      </w:r>
      <w:r>
        <w:rPr>
          <w:rFonts w:hint="eastAsia" w:eastAsia="仿宋_GB2312"/>
          <w:b/>
          <w:sz w:val="28"/>
          <w:szCs w:val="36"/>
        </w:rPr>
        <w:t>认知型技能。</w:t>
      </w:r>
      <w:r>
        <w:rPr>
          <w:rFonts w:hint="eastAsia" w:eastAsia="仿宋_GB2312"/>
          <w:sz w:val="28"/>
          <w:szCs w:val="36"/>
        </w:rPr>
        <w:t>包括物联网基础知识、物联网设备认知、物联网技术认知、物联网应用认知。</w:t>
      </w:r>
    </w:p>
    <w:p>
      <w:pPr>
        <w:spacing w:line="360" w:lineRule="auto"/>
        <w:ind w:right="210" w:rightChars="100" w:firstLine="562" w:firstLineChars="200"/>
        <w:jc w:val="left"/>
        <w:rPr>
          <w:rFonts w:eastAsia="仿宋_GB2312"/>
          <w:bCs/>
          <w:sz w:val="28"/>
          <w:szCs w:val="36"/>
        </w:rPr>
      </w:pPr>
      <w:r>
        <w:rPr>
          <w:rFonts w:eastAsia="仿宋_GB2312"/>
          <w:b/>
          <w:sz w:val="28"/>
          <w:szCs w:val="36"/>
        </w:rPr>
        <w:t>2.</w:t>
      </w:r>
      <w:r>
        <w:rPr>
          <w:rFonts w:hint="eastAsia" w:eastAsia="仿宋_GB2312"/>
          <w:b/>
          <w:sz w:val="28"/>
          <w:szCs w:val="36"/>
        </w:rPr>
        <w:t>实操型技能。</w:t>
      </w:r>
      <w:r>
        <w:rPr>
          <w:rFonts w:hint="eastAsia" w:eastAsia="仿宋_GB2312"/>
          <w:sz w:val="28"/>
          <w:szCs w:val="36"/>
        </w:rPr>
        <w:t>包括硬件设备安装调试、网络设备连接配置、软件系统部署维护、物联网项目应用操作。</w:t>
      </w:r>
    </w:p>
    <w:p>
      <w:pPr>
        <w:spacing w:line="600" w:lineRule="exact"/>
        <w:ind w:firstLine="560" w:firstLineChars="200"/>
        <w:rPr>
          <w:rFonts w:eastAsia="仿宋_GB2312"/>
          <w:sz w:val="28"/>
          <w:szCs w:val="36"/>
        </w:rPr>
      </w:pPr>
      <w:r>
        <w:rPr>
          <w:rFonts w:hint="eastAsia" w:eastAsia="仿宋_GB2312"/>
          <w:sz w:val="28"/>
          <w:szCs w:val="36"/>
        </w:rPr>
        <w:t>（</w:t>
      </w:r>
      <w:r>
        <w:rPr>
          <w:rFonts w:eastAsia="仿宋_GB2312"/>
          <w:sz w:val="28"/>
          <w:szCs w:val="36"/>
        </w:rPr>
        <w:t>1</w:t>
      </w:r>
      <w:r>
        <w:rPr>
          <w:rFonts w:hint="eastAsia" w:eastAsia="仿宋_GB2312"/>
          <w:sz w:val="28"/>
          <w:szCs w:val="36"/>
        </w:rPr>
        <w:t>）硬件设备安装调试</w:t>
      </w:r>
    </w:p>
    <w:p>
      <w:pPr>
        <w:spacing w:line="600" w:lineRule="exact"/>
        <w:ind w:firstLine="560" w:firstLineChars="200"/>
        <w:rPr>
          <w:rFonts w:eastAsia="仿宋_GB2312"/>
          <w:sz w:val="28"/>
          <w:szCs w:val="36"/>
        </w:rPr>
      </w:pPr>
      <w:r>
        <w:rPr>
          <w:rFonts w:hint="eastAsia" w:eastAsia="仿宋_GB2312"/>
          <w:sz w:val="28"/>
          <w:szCs w:val="36"/>
        </w:rPr>
        <w:t>基于物联网竞赛工位，按照要求利用通用工具安装调试硬件设备，如传感器、执行器件、传感网络节点等安装到竞赛工位面板上，完成连接及供电，并按照要求对各个设备进行配置，保证设备正常工作。</w:t>
      </w:r>
    </w:p>
    <w:p>
      <w:pPr>
        <w:spacing w:line="600" w:lineRule="exact"/>
        <w:ind w:firstLine="560" w:firstLineChars="200"/>
        <w:rPr>
          <w:rFonts w:eastAsia="仿宋_GB2312"/>
          <w:sz w:val="28"/>
          <w:szCs w:val="36"/>
        </w:rPr>
      </w:pPr>
      <w:r>
        <w:rPr>
          <w:rFonts w:hint="eastAsia" w:eastAsia="仿宋_GB2312"/>
          <w:sz w:val="28"/>
          <w:szCs w:val="36"/>
        </w:rPr>
        <w:t>（</w:t>
      </w:r>
      <w:r>
        <w:rPr>
          <w:rFonts w:eastAsia="仿宋_GB2312"/>
          <w:sz w:val="28"/>
          <w:szCs w:val="36"/>
        </w:rPr>
        <w:t>2</w:t>
      </w:r>
      <w:r>
        <w:rPr>
          <w:rFonts w:hint="eastAsia" w:eastAsia="仿宋_GB2312"/>
          <w:sz w:val="28"/>
          <w:szCs w:val="36"/>
        </w:rPr>
        <w:t>）网络设备连接配置</w:t>
      </w:r>
    </w:p>
    <w:p>
      <w:pPr>
        <w:spacing w:line="600" w:lineRule="exact"/>
        <w:ind w:firstLine="560" w:firstLineChars="200"/>
        <w:rPr>
          <w:rFonts w:eastAsia="仿宋_GB2312"/>
          <w:sz w:val="28"/>
          <w:szCs w:val="36"/>
        </w:rPr>
      </w:pPr>
      <w:r>
        <w:rPr>
          <w:rFonts w:hint="eastAsia" w:eastAsia="仿宋_GB2312"/>
          <w:sz w:val="28"/>
          <w:szCs w:val="36"/>
        </w:rPr>
        <w:t>按照要求建立并管理物联网工程的网络环境，包括网络连接布线，无线路由器设定配置，传感网设备、串口服务器、计算机、智能网关等终端设备进行网络配置。</w:t>
      </w:r>
    </w:p>
    <w:p>
      <w:pPr>
        <w:spacing w:line="600" w:lineRule="exact"/>
        <w:ind w:firstLine="560" w:firstLineChars="200"/>
        <w:rPr>
          <w:rFonts w:eastAsia="仿宋_GB2312"/>
          <w:sz w:val="28"/>
          <w:szCs w:val="36"/>
        </w:rPr>
      </w:pPr>
      <w:r>
        <w:rPr>
          <w:rFonts w:hint="eastAsia" w:eastAsia="仿宋_GB2312"/>
          <w:sz w:val="28"/>
          <w:szCs w:val="36"/>
        </w:rPr>
        <w:t>（</w:t>
      </w:r>
      <w:r>
        <w:rPr>
          <w:rFonts w:eastAsia="仿宋_GB2312"/>
          <w:sz w:val="28"/>
          <w:szCs w:val="36"/>
        </w:rPr>
        <w:t>3</w:t>
      </w:r>
      <w:r>
        <w:rPr>
          <w:rFonts w:hint="eastAsia" w:eastAsia="仿宋_GB2312"/>
          <w:sz w:val="28"/>
          <w:szCs w:val="36"/>
        </w:rPr>
        <w:t>）软件系统部署维护</w:t>
      </w:r>
    </w:p>
    <w:p>
      <w:pPr>
        <w:spacing w:line="600" w:lineRule="exact"/>
        <w:ind w:firstLine="560" w:firstLineChars="200"/>
        <w:rPr>
          <w:rFonts w:eastAsia="仿宋_GB2312"/>
          <w:sz w:val="28"/>
          <w:szCs w:val="36"/>
        </w:rPr>
      </w:pPr>
      <w:r>
        <w:rPr>
          <w:rFonts w:hint="eastAsia" w:eastAsia="仿宋_GB2312"/>
          <w:sz w:val="28"/>
          <w:szCs w:val="36"/>
        </w:rPr>
        <w:t>部署安装软件系统，配置物联网云服务系统，对系统软件的运行环境进行部署安装；对产品配套的应用软件进行部署安装配置等；对产品配套软件系统的维护等；对物联网项目工程通过仿真系统进行搭建、配置及部署。</w:t>
      </w:r>
    </w:p>
    <w:p>
      <w:pPr>
        <w:spacing w:line="600" w:lineRule="exact"/>
        <w:ind w:firstLine="560" w:firstLineChars="200"/>
        <w:rPr>
          <w:rFonts w:eastAsia="仿宋_GB2312"/>
          <w:sz w:val="28"/>
          <w:szCs w:val="36"/>
        </w:rPr>
      </w:pPr>
      <w:r>
        <w:rPr>
          <w:rFonts w:hint="eastAsia" w:eastAsia="仿宋_GB2312"/>
          <w:sz w:val="28"/>
          <w:szCs w:val="36"/>
        </w:rPr>
        <w:t>（</w:t>
      </w:r>
      <w:r>
        <w:rPr>
          <w:rFonts w:eastAsia="仿宋_GB2312"/>
          <w:sz w:val="28"/>
          <w:szCs w:val="36"/>
        </w:rPr>
        <w:t>4</w:t>
      </w:r>
      <w:r>
        <w:rPr>
          <w:rFonts w:hint="eastAsia" w:eastAsia="仿宋_GB2312"/>
          <w:sz w:val="28"/>
          <w:szCs w:val="36"/>
        </w:rPr>
        <w:t>）物联网项目应用操作</w:t>
      </w:r>
    </w:p>
    <w:p>
      <w:pPr>
        <w:spacing w:line="600" w:lineRule="exact"/>
        <w:ind w:firstLine="560" w:firstLineChars="200"/>
        <w:rPr>
          <w:rFonts w:eastAsia="仿宋_GB2312"/>
          <w:sz w:val="28"/>
          <w:szCs w:val="36"/>
        </w:rPr>
      </w:pPr>
      <w:r>
        <w:rPr>
          <w:rFonts w:hint="eastAsia" w:eastAsia="仿宋_GB2312"/>
          <w:sz w:val="28"/>
          <w:szCs w:val="36"/>
        </w:rPr>
        <w:t>对智慧农业、智慧工厂、智能门店等物联网项目的使用操作、业务流程进行了解和熟悉，能够操作和演示各个场景子功能的业务环节。</w:t>
      </w:r>
    </w:p>
    <w:p>
      <w:pPr>
        <w:spacing w:line="600" w:lineRule="exact"/>
        <w:ind w:firstLine="562" w:firstLineChars="200"/>
        <w:rPr>
          <w:rFonts w:eastAsia="仿宋_GB2312"/>
          <w:sz w:val="28"/>
          <w:szCs w:val="36"/>
        </w:rPr>
      </w:pPr>
      <w:r>
        <w:rPr>
          <w:rFonts w:eastAsia="仿宋_GB2312"/>
          <w:b/>
          <w:bCs/>
          <w:sz w:val="28"/>
          <w:szCs w:val="36"/>
        </w:rPr>
        <w:t>3.</w:t>
      </w:r>
      <w:r>
        <w:rPr>
          <w:rFonts w:hint="eastAsia" w:eastAsia="仿宋_GB2312"/>
          <w:b/>
          <w:bCs/>
          <w:sz w:val="28"/>
          <w:szCs w:val="36"/>
        </w:rPr>
        <w:t>开发型技能。</w:t>
      </w:r>
      <w:r>
        <w:rPr>
          <w:rFonts w:hint="eastAsia" w:eastAsia="仿宋_GB2312"/>
          <w:sz w:val="28"/>
          <w:szCs w:val="36"/>
        </w:rPr>
        <w:t>包括根据相关功能子模块的要求，实现传感网辅助应用开发、物联网辅助应用软件开发和程序调试等。</w:t>
      </w:r>
    </w:p>
    <w:p>
      <w:pPr>
        <w:spacing w:line="360" w:lineRule="auto"/>
        <w:ind w:right="210" w:rightChars="100" w:firstLine="420"/>
        <w:jc w:val="left"/>
        <w:rPr>
          <w:rFonts w:hint="eastAsia" w:eastAsia="楷体"/>
          <w:b/>
          <w:sz w:val="32"/>
          <w:szCs w:val="40"/>
        </w:rPr>
      </w:pPr>
    </w:p>
    <w:p>
      <w:pPr>
        <w:spacing w:line="360" w:lineRule="auto"/>
        <w:ind w:right="210" w:rightChars="100" w:firstLine="420"/>
        <w:jc w:val="left"/>
        <w:rPr>
          <w:rFonts w:hint="eastAsia" w:eastAsia="楷体"/>
          <w:b/>
          <w:sz w:val="32"/>
          <w:szCs w:val="40"/>
        </w:rPr>
      </w:pPr>
    </w:p>
    <w:p>
      <w:pPr>
        <w:spacing w:line="360" w:lineRule="auto"/>
        <w:ind w:right="210" w:rightChars="100" w:firstLine="420"/>
        <w:jc w:val="left"/>
        <w:rPr>
          <w:rFonts w:hint="eastAsia" w:eastAsia="楷体"/>
          <w:b/>
          <w:sz w:val="32"/>
          <w:szCs w:val="40"/>
        </w:rPr>
      </w:pPr>
    </w:p>
    <w:p>
      <w:pPr>
        <w:spacing w:line="360" w:lineRule="auto"/>
        <w:ind w:right="210" w:rightChars="100" w:firstLine="420"/>
        <w:jc w:val="left"/>
        <w:rPr>
          <w:rFonts w:eastAsia="楷体"/>
          <w:b/>
          <w:sz w:val="32"/>
          <w:szCs w:val="40"/>
        </w:rPr>
      </w:pPr>
      <w:r>
        <w:rPr>
          <w:rFonts w:hint="eastAsia" w:eastAsia="楷体"/>
          <w:b/>
          <w:sz w:val="32"/>
          <w:szCs w:val="40"/>
        </w:rPr>
        <w:t>（三）赛项模块、比赛时长及分值配比</w:t>
      </w:r>
    </w:p>
    <w:tbl>
      <w:tblPr>
        <w:tblStyle w:val="9"/>
        <w:tblW w:w="8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09"/>
        <w:gridCol w:w="4139"/>
        <w:gridCol w:w="1252"/>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0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40" w:rightChars="19"/>
              <w:jc w:val="center"/>
              <w:rPr>
                <w:rFonts w:eastAsia="仿宋_GB2312"/>
                <w:b/>
                <w:sz w:val="24"/>
                <w:szCs w:val="24"/>
              </w:rPr>
            </w:pPr>
            <w:r>
              <w:rPr>
                <w:rFonts w:hint="eastAsia" w:eastAsia="仿宋_GB2312"/>
                <w:b/>
                <w:sz w:val="24"/>
              </w:rPr>
              <w:t>模块</w:t>
            </w:r>
          </w:p>
        </w:tc>
        <w:tc>
          <w:tcPr>
            <w:tcW w:w="41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38" w:rightChars="18"/>
              <w:jc w:val="center"/>
              <w:rPr>
                <w:rFonts w:eastAsia="仿宋_GB2312"/>
                <w:b/>
                <w:sz w:val="24"/>
              </w:rPr>
            </w:pPr>
            <w:r>
              <w:rPr>
                <w:rFonts w:hint="eastAsia" w:eastAsia="仿宋_GB2312"/>
                <w:b/>
                <w:sz w:val="24"/>
              </w:rPr>
              <w:t>主要内容</w:t>
            </w:r>
          </w:p>
        </w:tc>
        <w:tc>
          <w:tcPr>
            <w:tcW w:w="12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27" w:rightChars="13"/>
              <w:jc w:val="center"/>
              <w:rPr>
                <w:rFonts w:eastAsia="仿宋_GB2312"/>
                <w:b/>
                <w:sz w:val="24"/>
              </w:rPr>
            </w:pPr>
            <w:r>
              <w:rPr>
                <w:rFonts w:hint="eastAsia" w:eastAsia="仿宋_GB2312"/>
                <w:b/>
                <w:sz w:val="24"/>
              </w:rPr>
              <w:t>比赛时长</w:t>
            </w: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42" w:rightChars="-20"/>
              <w:jc w:val="center"/>
              <w:rPr>
                <w:rFonts w:eastAsia="仿宋_GB2312"/>
                <w:b/>
                <w:sz w:val="24"/>
              </w:rPr>
            </w:pPr>
            <w:r>
              <w:rPr>
                <w:rFonts w:hint="eastAsia" w:eastAsia="仿宋_GB2312"/>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109" w:rightChars="52"/>
              <w:jc w:val="center"/>
              <w:rPr>
                <w:rFonts w:eastAsia="仿宋_GB2312"/>
                <w:b/>
                <w:sz w:val="24"/>
              </w:rPr>
            </w:pPr>
            <w:r>
              <w:rPr>
                <w:rFonts w:hint="eastAsia" w:eastAsia="仿宋_GB2312"/>
                <w:b/>
                <w:sz w:val="24"/>
              </w:rPr>
              <w:t>模块</w:t>
            </w:r>
            <w:r>
              <w:rPr>
                <w:rFonts w:eastAsia="仿宋_GB2312"/>
                <w:b/>
                <w:sz w:val="24"/>
              </w:rPr>
              <w:t>A</w:t>
            </w:r>
          </w:p>
        </w:tc>
        <w:tc>
          <w:tcPr>
            <w:tcW w:w="11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40" w:rightChars="19"/>
              <w:jc w:val="center"/>
              <w:rPr>
                <w:rFonts w:eastAsia="仿宋_GB2312"/>
                <w:b/>
                <w:sz w:val="24"/>
              </w:rPr>
            </w:pPr>
            <w:r>
              <w:rPr>
                <w:rFonts w:hint="eastAsia" w:eastAsia="仿宋_GB2312"/>
                <w:kern w:val="0"/>
                <w:sz w:val="24"/>
              </w:rPr>
              <w:t>物联网工程实施与网络搭建</w:t>
            </w:r>
          </w:p>
        </w:tc>
        <w:tc>
          <w:tcPr>
            <w:tcW w:w="41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38" w:rightChars="18"/>
              <w:rPr>
                <w:rFonts w:eastAsia="仿宋_GB2312"/>
                <w:b/>
                <w:sz w:val="24"/>
              </w:rPr>
            </w:pPr>
            <w:r>
              <w:rPr>
                <w:rFonts w:hint="eastAsia" w:eastAsia="仿宋_GB2312"/>
                <w:kern w:val="0"/>
                <w:sz w:val="24"/>
              </w:rPr>
              <w:t>根据项目要求，完成设备选型，安装调试物联网工程项目中的硬件设备，如各类传感器、执行器、自动识别终端、传感网络模块等，进行电路装配、工程布线、设备检测及设置。搭建物联网工程网络，并对各终端设备的有线网络、无线网络进行连接和配置；以及考查选手的职业素养。</w:t>
            </w:r>
          </w:p>
        </w:tc>
        <w:tc>
          <w:tcPr>
            <w:tcW w:w="125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27" w:rightChars="13"/>
              <w:jc w:val="center"/>
              <w:rPr>
                <w:rFonts w:eastAsia="仿宋_GB2312"/>
                <w:b/>
                <w:sz w:val="24"/>
              </w:rPr>
            </w:pPr>
            <w:r>
              <w:rPr>
                <w:rFonts w:hint="eastAsia" w:eastAsia="仿宋_GB2312"/>
                <w:kern w:val="0"/>
                <w:sz w:val="24"/>
                <w:lang w:val="en-US" w:eastAsia="zh-CN"/>
              </w:rPr>
              <w:t>2</w:t>
            </w:r>
            <w:r>
              <w:rPr>
                <w:rFonts w:hint="eastAsia" w:eastAsia="仿宋_GB2312"/>
                <w:kern w:val="0"/>
                <w:sz w:val="24"/>
              </w:rPr>
              <w:t>小时</w:t>
            </w: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42" w:rightChars="-20"/>
              <w:jc w:val="center"/>
              <w:rPr>
                <w:rFonts w:eastAsia="仿宋_GB2312"/>
                <w:b/>
                <w:sz w:val="24"/>
              </w:rPr>
            </w:pPr>
            <w:r>
              <w:rPr>
                <w:rFonts w:eastAsia="仿宋_GB2312"/>
                <w:kern w:val="0"/>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109" w:rightChars="52"/>
              <w:jc w:val="center"/>
              <w:rPr>
                <w:rFonts w:eastAsia="仿宋_GB2312"/>
                <w:b/>
                <w:sz w:val="24"/>
              </w:rPr>
            </w:pPr>
            <w:r>
              <w:rPr>
                <w:rFonts w:hint="eastAsia" w:eastAsia="仿宋_GB2312"/>
                <w:b/>
                <w:sz w:val="24"/>
              </w:rPr>
              <w:t>模块</w:t>
            </w:r>
            <w:r>
              <w:rPr>
                <w:rFonts w:eastAsia="仿宋_GB2312"/>
                <w:b/>
                <w:sz w:val="24"/>
              </w:rPr>
              <w:t>B</w:t>
            </w:r>
          </w:p>
        </w:tc>
        <w:tc>
          <w:tcPr>
            <w:tcW w:w="11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40" w:rightChars="19"/>
              <w:rPr>
                <w:rFonts w:eastAsia="仿宋_GB2312"/>
                <w:b/>
                <w:sz w:val="24"/>
              </w:rPr>
            </w:pPr>
            <w:r>
              <w:rPr>
                <w:rFonts w:hint="eastAsia" w:eastAsia="仿宋_GB2312"/>
                <w:kern w:val="0"/>
                <w:sz w:val="24"/>
              </w:rPr>
              <w:t>物联网应用部署与技术服务</w:t>
            </w:r>
          </w:p>
        </w:tc>
        <w:tc>
          <w:tcPr>
            <w:tcW w:w="41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38" w:rightChars="18"/>
              <w:rPr>
                <w:rFonts w:eastAsia="仿宋_GB2312"/>
                <w:b/>
                <w:sz w:val="24"/>
              </w:rPr>
            </w:pPr>
            <w:r>
              <w:rPr>
                <w:rFonts w:hint="eastAsia" w:eastAsia="仿宋_GB2312"/>
                <w:kern w:val="0"/>
                <w:sz w:val="24"/>
              </w:rPr>
              <w:t>根据项目要求，进行部署物联网软件系统，包括对服务系统、</w:t>
            </w:r>
            <w:r>
              <w:rPr>
                <w:rFonts w:eastAsia="仿宋_GB2312"/>
                <w:kern w:val="0"/>
                <w:sz w:val="24"/>
              </w:rPr>
              <w:t>PC</w:t>
            </w:r>
            <w:r>
              <w:rPr>
                <w:rFonts w:hint="eastAsia" w:eastAsia="仿宋_GB2312"/>
                <w:kern w:val="0"/>
                <w:sz w:val="24"/>
              </w:rPr>
              <w:t>客户端应用、移动端软件、网关系统及平台系统的部署和配置。运行维护物联网平台，定时完成设备及软件系统巡检，排查物联网应用服务、运行环境、数据库、网络及硬件等故障，解决程序运行中存在的问题；以及考查选手的职业素养。</w:t>
            </w:r>
          </w:p>
        </w:tc>
        <w:tc>
          <w:tcPr>
            <w:tcW w:w="12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42" w:rightChars="-20"/>
              <w:jc w:val="center"/>
              <w:rPr>
                <w:rFonts w:eastAsia="仿宋_GB2312"/>
                <w:b/>
                <w:sz w:val="24"/>
              </w:rPr>
            </w:pPr>
            <w:r>
              <w:rPr>
                <w:rFonts w:eastAsia="仿宋_GB2312"/>
                <w:kern w:val="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109" w:rightChars="52"/>
              <w:jc w:val="center"/>
              <w:rPr>
                <w:rFonts w:eastAsia="仿宋_GB2312"/>
                <w:b/>
                <w:sz w:val="24"/>
              </w:rPr>
            </w:pPr>
            <w:r>
              <w:rPr>
                <w:rFonts w:hint="eastAsia" w:eastAsia="仿宋_GB2312"/>
                <w:b/>
                <w:sz w:val="24"/>
              </w:rPr>
              <w:t>模块</w:t>
            </w:r>
            <w:r>
              <w:rPr>
                <w:rFonts w:eastAsia="仿宋_GB2312"/>
                <w:b/>
                <w:sz w:val="24"/>
              </w:rPr>
              <w:t>C</w:t>
            </w:r>
          </w:p>
        </w:tc>
        <w:tc>
          <w:tcPr>
            <w:tcW w:w="11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40" w:rightChars="19"/>
              <w:rPr>
                <w:rFonts w:eastAsia="仿宋_GB2312"/>
                <w:b/>
                <w:sz w:val="24"/>
              </w:rPr>
            </w:pPr>
            <w:r>
              <w:rPr>
                <w:rFonts w:hint="eastAsia" w:eastAsia="仿宋_GB2312"/>
                <w:kern w:val="0"/>
                <w:sz w:val="24"/>
              </w:rPr>
              <w:t>物联网辅助开发和调试</w:t>
            </w:r>
          </w:p>
        </w:tc>
        <w:tc>
          <w:tcPr>
            <w:tcW w:w="41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38" w:rightChars="18"/>
              <w:rPr>
                <w:rFonts w:eastAsia="仿宋_GB2312"/>
                <w:b/>
                <w:sz w:val="24"/>
              </w:rPr>
            </w:pPr>
            <w:r>
              <w:rPr>
                <w:rFonts w:hint="eastAsia" w:eastAsia="仿宋_GB2312"/>
                <w:kern w:val="0"/>
                <w:sz w:val="24"/>
              </w:rPr>
              <w:t>根据项目要求，辅助开发物联网应用，检测和处理传感网络数据，完成物联网传感数据、设备状态、分布状况及历史数据等内容展示；以及考查选手的职业素养。</w:t>
            </w:r>
          </w:p>
        </w:tc>
        <w:tc>
          <w:tcPr>
            <w:tcW w:w="12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42" w:rightChars="-20"/>
              <w:jc w:val="center"/>
              <w:rPr>
                <w:rFonts w:eastAsia="仿宋_GB2312"/>
                <w:b/>
                <w:sz w:val="24"/>
              </w:rPr>
            </w:pPr>
            <w:r>
              <w:rPr>
                <w:rFonts w:eastAsia="仿宋_GB2312"/>
                <w:kern w:val="0"/>
                <w:sz w:val="24"/>
              </w:rPr>
              <w:t>20</w:t>
            </w:r>
          </w:p>
        </w:tc>
      </w:tr>
    </w:tbl>
    <w:p>
      <w:pPr>
        <w:rPr>
          <w:bCs/>
        </w:rPr>
      </w:pP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四、竞赛方式</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1．本赛项为团队赛，以院校为单位组队参赛，不得跨校组队，同一学校参赛队不超过</w:t>
      </w:r>
      <w:r>
        <w:rPr>
          <w:rFonts w:hint="eastAsia" w:ascii="Arial Narrow" w:hAnsi="Arial Narrow" w:eastAsia="仿宋_GB2312" w:cs="宋体"/>
          <w:sz w:val="28"/>
          <w:szCs w:val="28"/>
          <w:lang w:val="en-US" w:eastAsia="zh-CN"/>
        </w:rPr>
        <w:t>2</w:t>
      </w:r>
      <w:r>
        <w:rPr>
          <w:rFonts w:hint="eastAsia" w:ascii="Arial Narrow" w:hAnsi="Arial Narrow" w:eastAsia="仿宋_GB2312" w:cs="宋体"/>
          <w:sz w:val="28"/>
          <w:szCs w:val="28"/>
        </w:rPr>
        <w:t>支。</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2. 每支参赛队由2名选手组成，其中队长1名。</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3．每支参赛队可配指导教师1至2名，指导教师须为本校专兼职教师，竞赛期间不允许指导教师进入赛场进行现场指导。</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五、竞赛流程</w:t>
      </w:r>
      <w:bookmarkStart w:id="4" w:name="_GoBack"/>
      <w:bookmarkEnd w:id="4"/>
    </w:p>
    <w:p>
      <w:pPr>
        <w:snapToGrid w:val="0"/>
        <w:spacing w:line="560" w:lineRule="exact"/>
        <w:outlineLvl w:val="0"/>
        <w:rPr>
          <w:rFonts w:ascii="Arial Narrow" w:hAnsi="Arial Narrow" w:eastAsia="仿宋_GB2312" w:cs="Arial"/>
          <w:sz w:val="28"/>
          <w:szCs w:val="30"/>
        </w:rPr>
      </w:pPr>
      <w:r>
        <w:rPr>
          <w:rFonts w:hint="eastAsia" w:ascii="Arial Narrow" w:hAnsi="Arial Narrow" w:eastAsia="仿宋_GB2312" w:cs="Arial"/>
          <w:sz w:val="28"/>
          <w:szCs w:val="30"/>
        </w:rPr>
        <w:t>（一</w:t>
      </w:r>
      <w:r>
        <w:rPr>
          <w:rFonts w:ascii="Arial Narrow" w:hAnsi="Arial Narrow" w:eastAsia="仿宋_GB2312" w:cs="Arial"/>
          <w:sz w:val="28"/>
          <w:szCs w:val="30"/>
        </w:rPr>
        <w:t>）竞赛</w:t>
      </w:r>
      <w:r>
        <w:rPr>
          <w:rFonts w:hint="eastAsia" w:ascii="Arial Narrow" w:hAnsi="Arial Narrow" w:eastAsia="仿宋_GB2312" w:cs="Arial"/>
          <w:sz w:val="28"/>
          <w:szCs w:val="30"/>
        </w:rPr>
        <w:t>流程</w:t>
      </w:r>
      <w:r>
        <w:rPr>
          <w:rFonts w:ascii="Arial Narrow" w:hAnsi="Arial Narrow" w:eastAsia="仿宋_GB2312" w:cs="Arial"/>
          <w:sz w:val="28"/>
          <w:szCs w:val="30"/>
        </w:rPr>
        <w:t>图</w:t>
      </w:r>
    </w:p>
    <w:p>
      <w:pPr>
        <w:jc w:val="center"/>
        <w:rPr>
          <w:rFonts w:ascii="宋体" w:cs="宋体"/>
          <w:kern w:val="0"/>
          <w:sz w:val="18"/>
          <w:szCs w:val="18"/>
          <w:lang w:val="zh-CN"/>
        </w:rPr>
      </w:pPr>
      <w:r>
        <w:drawing>
          <wp:inline distT="0" distB="0" distL="0" distR="0">
            <wp:extent cx="5274310" cy="573786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4310" cy="5737860"/>
                    </a:xfrm>
                    <a:prstGeom prst="rect">
                      <a:avLst/>
                    </a:prstGeom>
                  </pic:spPr>
                </pic:pic>
              </a:graphicData>
            </a:graphic>
          </wp:inline>
        </w:drawing>
      </w:r>
    </w:p>
    <w:p>
      <w:pPr>
        <w:jc w:val="center"/>
        <w:rPr>
          <w:rFonts w:ascii="宋体" w:cs="宋体"/>
          <w:kern w:val="0"/>
          <w:sz w:val="18"/>
          <w:szCs w:val="18"/>
          <w:lang w:val="zh-CN"/>
        </w:rPr>
      </w:pPr>
    </w:p>
    <w:p>
      <w:pPr>
        <w:jc w:val="center"/>
        <w:rPr>
          <w:rFonts w:ascii="宋体" w:cs="宋体"/>
          <w:kern w:val="0"/>
          <w:sz w:val="18"/>
          <w:szCs w:val="18"/>
          <w:lang w:val="zh-CN"/>
        </w:rPr>
      </w:pPr>
    </w:p>
    <w:p>
      <w:pPr>
        <w:snapToGrid w:val="0"/>
        <w:spacing w:line="560" w:lineRule="exact"/>
        <w:outlineLvl w:val="0"/>
        <w:rPr>
          <w:rFonts w:ascii="Arial Narrow" w:hAnsi="Arial Narrow" w:eastAsia="仿宋_GB2312" w:cs="Arial"/>
          <w:sz w:val="28"/>
          <w:szCs w:val="30"/>
        </w:rPr>
      </w:pPr>
      <w:r>
        <w:rPr>
          <w:rFonts w:hint="eastAsia" w:ascii="Arial Narrow" w:hAnsi="Arial Narrow" w:eastAsia="仿宋_GB2312" w:cs="Arial"/>
          <w:sz w:val="28"/>
          <w:szCs w:val="30"/>
        </w:rPr>
        <w:t>（</w:t>
      </w:r>
      <w:r>
        <w:rPr>
          <w:rFonts w:ascii="Arial Narrow" w:hAnsi="Arial Narrow" w:eastAsia="仿宋_GB2312" w:cs="Arial"/>
          <w:sz w:val="28"/>
          <w:szCs w:val="30"/>
        </w:rPr>
        <w:t>二）竞赛时间安排表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1554"/>
        <w:gridCol w:w="1667"/>
        <w:gridCol w:w="37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 w:type="pct"/>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日程</w:t>
            </w:r>
          </w:p>
        </w:tc>
        <w:tc>
          <w:tcPr>
            <w:tcW w:w="912" w:type="pct"/>
            <w:vAlign w:val="center"/>
          </w:tcPr>
          <w:p>
            <w:pPr>
              <w:adjustRightInd w:val="0"/>
              <w:snapToGrid w:val="0"/>
              <w:jc w:val="center"/>
              <w:rPr>
                <w:rFonts w:ascii="仿宋_GB2312" w:eastAsia="仿宋_GB2312"/>
                <w:b/>
                <w:sz w:val="24"/>
              </w:rPr>
            </w:pPr>
            <w:r>
              <w:rPr>
                <w:rFonts w:hint="eastAsia" w:ascii="仿宋_GB2312" w:hAnsi="宋体" w:eastAsia="仿宋_GB2312"/>
                <w:b/>
                <w:sz w:val="24"/>
              </w:rPr>
              <w:t>时间</w:t>
            </w:r>
          </w:p>
        </w:tc>
        <w:tc>
          <w:tcPr>
            <w:tcW w:w="978" w:type="pct"/>
            <w:vAlign w:val="center"/>
          </w:tcPr>
          <w:p>
            <w:pPr>
              <w:adjustRightInd w:val="0"/>
              <w:snapToGrid w:val="0"/>
              <w:jc w:val="center"/>
              <w:rPr>
                <w:rFonts w:ascii="仿宋_GB2312" w:eastAsia="仿宋_GB2312"/>
                <w:b/>
                <w:sz w:val="24"/>
              </w:rPr>
            </w:pPr>
            <w:r>
              <w:rPr>
                <w:rFonts w:hint="eastAsia" w:ascii="仿宋_GB2312" w:hAnsi="宋体" w:eastAsia="仿宋_GB2312"/>
                <w:b/>
                <w:sz w:val="24"/>
              </w:rPr>
              <w:t>竞赛环节</w:t>
            </w:r>
          </w:p>
        </w:tc>
        <w:tc>
          <w:tcPr>
            <w:tcW w:w="2198" w:type="pct"/>
            <w:vAlign w:val="center"/>
          </w:tcPr>
          <w:p>
            <w:pPr>
              <w:adjustRightInd w:val="0"/>
              <w:snapToGrid w:val="0"/>
              <w:jc w:val="center"/>
              <w:rPr>
                <w:rFonts w:ascii="仿宋_GB2312" w:eastAsia="仿宋_GB2312"/>
                <w:b/>
                <w:sz w:val="24"/>
              </w:rPr>
            </w:pPr>
            <w:r>
              <w:rPr>
                <w:rFonts w:hint="eastAsia" w:ascii="仿宋_GB2312" w:hAnsi="宋体" w:eastAsia="仿宋_GB2312"/>
                <w:b/>
                <w:sz w:val="24"/>
              </w:rPr>
              <w:t>说       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2" w:type="pct"/>
            <w:vMerge w:val="restart"/>
            <w:vAlign w:val="center"/>
          </w:tcPr>
          <w:p>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rPr>
              <w:t>比赛日</w:t>
            </w:r>
          </w:p>
        </w:tc>
        <w:tc>
          <w:tcPr>
            <w:tcW w:w="912" w:type="pct"/>
            <w:vAlign w:val="center"/>
          </w:tcPr>
          <w:p>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rPr>
              <w:t>07:</w:t>
            </w:r>
            <w:r>
              <w:rPr>
                <w:rFonts w:ascii="仿宋_GB2312" w:hAnsi="仿宋" w:eastAsia="仿宋_GB2312"/>
                <w:sz w:val="24"/>
              </w:rPr>
              <w:t>0</w:t>
            </w:r>
            <w:r>
              <w:rPr>
                <w:rFonts w:hint="eastAsia" w:ascii="仿宋_GB2312" w:hAnsi="仿宋" w:eastAsia="仿宋_GB2312"/>
                <w:sz w:val="24"/>
              </w:rPr>
              <w:t>0</w:t>
            </w:r>
            <w:r>
              <w:rPr>
                <w:rFonts w:hint="eastAsia" w:ascii="仿宋_GB2312" w:eastAsia="仿宋_GB2312"/>
                <w:sz w:val="24"/>
              </w:rPr>
              <w:t>-</w:t>
            </w:r>
            <w:r>
              <w:rPr>
                <w:rFonts w:hint="eastAsia" w:ascii="仿宋_GB2312" w:hAnsi="仿宋" w:eastAsia="仿宋_GB2312"/>
                <w:sz w:val="24"/>
              </w:rPr>
              <w:t>07:30</w:t>
            </w:r>
          </w:p>
        </w:tc>
        <w:tc>
          <w:tcPr>
            <w:tcW w:w="978" w:type="pct"/>
            <w:vAlign w:val="center"/>
          </w:tcPr>
          <w:p>
            <w:pPr>
              <w:adjustRightInd w:val="0"/>
              <w:snapToGrid w:val="0"/>
              <w:rPr>
                <w:rFonts w:ascii="仿宋_GB2312" w:hAnsi="仿宋" w:eastAsia="仿宋_GB2312"/>
                <w:sz w:val="24"/>
              </w:rPr>
            </w:pPr>
            <w:r>
              <w:rPr>
                <w:rFonts w:hint="eastAsia" w:ascii="仿宋_GB2312" w:hAnsi="仿宋" w:eastAsia="仿宋_GB2312"/>
                <w:sz w:val="24"/>
              </w:rPr>
              <w:t>启封赛场</w:t>
            </w:r>
          </w:p>
        </w:tc>
        <w:tc>
          <w:tcPr>
            <w:tcW w:w="2198" w:type="pct"/>
            <w:vAlign w:val="center"/>
          </w:tcPr>
          <w:p>
            <w:pPr>
              <w:adjustRightInd w:val="0"/>
              <w:snapToGrid w:val="0"/>
              <w:rPr>
                <w:rFonts w:ascii="仿宋_GB2312" w:hAnsi="仿宋" w:eastAsia="仿宋_GB2312"/>
                <w:sz w:val="24"/>
              </w:rPr>
            </w:pPr>
            <w:r>
              <w:rPr>
                <w:rFonts w:hint="eastAsia" w:ascii="仿宋_GB2312" w:hAnsi="仿宋" w:eastAsia="仿宋_GB2312"/>
                <w:sz w:val="24"/>
              </w:rPr>
              <w:t>在裁判员和监督仲裁员的监督下工作人员启封赛场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2" w:type="pct"/>
            <w:vMerge w:val="continue"/>
            <w:vAlign w:val="center"/>
          </w:tcPr>
          <w:p>
            <w:pPr>
              <w:adjustRightInd w:val="0"/>
              <w:snapToGrid w:val="0"/>
              <w:ind w:left="-105" w:leftChars="-50" w:right="-105" w:rightChars="-50"/>
              <w:jc w:val="center"/>
              <w:rPr>
                <w:rFonts w:ascii="仿宋_GB2312" w:eastAsia="仿宋_GB2312"/>
                <w:sz w:val="24"/>
              </w:rPr>
            </w:pPr>
          </w:p>
        </w:tc>
        <w:tc>
          <w:tcPr>
            <w:tcW w:w="912" w:type="pct"/>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07:45-0</w:t>
            </w:r>
            <w:r>
              <w:rPr>
                <w:rFonts w:ascii="仿宋_GB2312" w:eastAsia="仿宋_GB2312"/>
                <w:sz w:val="24"/>
              </w:rPr>
              <w:t>8</w:t>
            </w:r>
            <w:r>
              <w:rPr>
                <w:rFonts w:hint="eastAsia" w:ascii="仿宋_GB2312" w:eastAsia="仿宋_GB2312"/>
                <w:sz w:val="24"/>
              </w:rPr>
              <w:t>:</w:t>
            </w:r>
            <w:r>
              <w:rPr>
                <w:rFonts w:ascii="仿宋_GB2312" w:eastAsia="仿宋_GB2312"/>
                <w:sz w:val="24"/>
              </w:rPr>
              <w:t>10</w:t>
            </w:r>
          </w:p>
        </w:tc>
        <w:tc>
          <w:tcPr>
            <w:tcW w:w="978" w:type="pct"/>
            <w:vAlign w:val="center"/>
          </w:tcPr>
          <w:p>
            <w:pPr>
              <w:adjustRightInd w:val="0"/>
              <w:snapToGrid w:val="0"/>
              <w:rPr>
                <w:rFonts w:ascii="仿宋_GB2312" w:eastAsia="仿宋_GB2312"/>
                <w:sz w:val="24"/>
              </w:rPr>
            </w:pPr>
            <w:r>
              <w:rPr>
                <w:rFonts w:hint="eastAsia" w:eastAsia="仿宋_GB2312"/>
                <w:sz w:val="24"/>
              </w:rPr>
              <w:t>竞赛</w:t>
            </w:r>
            <w:r>
              <w:rPr>
                <w:rFonts w:hint="eastAsia" w:ascii="仿宋_GB2312" w:eastAsia="仿宋_GB2312"/>
                <w:sz w:val="24"/>
              </w:rPr>
              <w:t>选手进行一次加密</w:t>
            </w:r>
          </w:p>
        </w:tc>
        <w:tc>
          <w:tcPr>
            <w:tcW w:w="2198" w:type="pct"/>
            <w:vAlign w:val="center"/>
          </w:tcPr>
          <w:p>
            <w:pPr>
              <w:adjustRightInd w:val="0"/>
              <w:snapToGrid w:val="0"/>
              <w:rPr>
                <w:rFonts w:ascii="仿宋_GB2312" w:eastAsia="仿宋_GB2312"/>
                <w:sz w:val="24"/>
              </w:rPr>
            </w:pPr>
            <w:r>
              <w:rPr>
                <w:rFonts w:hint="eastAsia" w:ascii="仿宋_GB2312" w:eastAsia="仿宋_GB2312"/>
                <w:sz w:val="24"/>
              </w:rPr>
              <w:t>参赛选手持参赛证、身份证和学生证接受工作人员检录并进行一次加密确定参赛编号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2" w:type="pct"/>
            <w:vMerge w:val="continue"/>
            <w:vAlign w:val="center"/>
          </w:tcPr>
          <w:p>
            <w:pPr>
              <w:adjustRightInd w:val="0"/>
              <w:snapToGrid w:val="0"/>
              <w:ind w:left="-105" w:leftChars="-50" w:right="-105" w:rightChars="-50"/>
              <w:jc w:val="center"/>
              <w:rPr>
                <w:rFonts w:ascii="仿宋_GB2312" w:eastAsia="仿宋_GB2312"/>
                <w:sz w:val="24"/>
              </w:rPr>
            </w:pPr>
          </w:p>
        </w:tc>
        <w:tc>
          <w:tcPr>
            <w:tcW w:w="912" w:type="pct"/>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0</w:t>
            </w:r>
            <w:r>
              <w:rPr>
                <w:rFonts w:ascii="仿宋_GB2312" w:eastAsia="仿宋_GB2312"/>
                <w:sz w:val="24"/>
              </w:rPr>
              <w:t>8</w:t>
            </w:r>
            <w:r>
              <w:rPr>
                <w:rFonts w:hint="eastAsia" w:ascii="仿宋_GB2312" w:eastAsia="仿宋_GB2312"/>
                <w:sz w:val="24"/>
              </w:rPr>
              <w:t>:</w:t>
            </w:r>
            <w:r>
              <w:rPr>
                <w:rFonts w:ascii="仿宋_GB2312" w:eastAsia="仿宋_GB2312"/>
                <w:sz w:val="24"/>
              </w:rPr>
              <w:t>10</w:t>
            </w:r>
            <w:r>
              <w:rPr>
                <w:rFonts w:hint="eastAsia" w:ascii="仿宋_GB2312" w:eastAsia="仿宋_GB2312"/>
                <w:sz w:val="24"/>
              </w:rPr>
              <w:t>-0</w:t>
            </w:r>
            <w:r>
              <w:rPr>
                <w:rFonts w:ascii="仿宋_GB2312" w:eastAsia="仿宋_GB2312"/>
                <w:sz w:val="24"/>
              </w:rPr>
              <w:t>8</w:t>
            </w:r>
            <w:r>
              <w:rPr>
                <w:rFonts w:hint="eastAsia" w:ascii="仿宋_GB2312" w:eastAsia="仿宋_GB2312"/>
                <w:sz w:val="24"/>
              </w:rPr>
              <w:t>:</w:t>
            </w:r>
            <w:r>
              <w:rPr>
                <w:rFonts w:ascii="仿宋_GB2312" w:eastAsia="仿宋_GB2312"/>
                <w:sz w:val="24"/>
              </w:rPr>
              <w:t>2</w:t>
            </w:r>
            <w:r>
              <w:rPr>
                <w:rFonts w:hint="eastAsia" w:ascii="仿宋_GB2312" w:eastAsia="仿宋_GB2312"/>
                <w:sz w:val="24"/>
              </w:rPr>
              <w:t>5</w:t>
            </w:r>
          </w:p>
        </w:tc>
        <w:tc>
          <w:tcPr>
            <w:tcW w:w="978" w:type="pct"/>
            <w:vAlign w:val="center"/>
          </w:tcPr>
          <w:p>
            <w:pPr>
              <w:adjustRightInd w:val="0"/>
              <w:snapToGrid w:val="0"/>
              <w:rPr>
                <w:rFonts w:eastAsia="仿宋_GB2312"/>
                <w:sz w:val="24"/>
              </w:rPr>
            </w:pPr>
            <w:r>
              <w:rPr>
                <w:rFonts w:hint="eastAsia" w:eastAsia="仿宋_GB2312"/>
                <w:sz w:val="24"/>
              </w:rPr>
              <w:t>二次抽签加密</w:t>
            </w:r>
          </w:p>
        </w:tc>
        <w:tc>
          <w:tcPr>
            <w:tcW w:w="2198" w:type="pct"/>
            <w:vAlign w:val="center"/>
          </w:tcPr>
          <w:p>
            <w:pPr>
              <w:adjustRightInd w:val="0"/>
              <w:snapToGrid w:val="0"/>
              <w:rPr>
                <w:rFonts w:ascii="仿宋_GB2312" w:eastAsia="仿宋_GB2312"/>
                <w:sz w:val="24"/>
              </w:rPr>
            </w:pPr>
            <w:r>
              <w:rPr>
                <w:rFonts w:hint="eastAsia" w:ascii="仿宋_GB2312" w:eastAsia="仿宋_GB2312"/>
                <w:sz w:val="24"/>
              </w:rPr>
              <w:t>参赛选手凭一次加密后的参赛编号进行二次抽签加密确定赛位号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2" w:type="pct"/>
            <w:vMerge w:val="continue"/>
            <w:vAlign w:val="center"/>
          </w:tcPr>
          <w:p>
            <w:pPr>
              <w:adjustRightInd w:val="0"/>
              <w:snapToGrid w:val="0"/>
              <w:ind w:left="-105" w:leftChars="-50" w:right="-105" w:rightChars="-50"/>
              <w:jc w:val="center"/>
              <w:rPr>
                <w:rFonts w:ascii="仿宋_GB2312" w:eastAsia="仿宋_GB2312"/>
                <w:sz w:val="24"/>
              </w:rPr>
            </w:pPr>
          </w:p>
        </w:tc>
        <w:tc>
          <w:tcPr>
            <w:tcW w:w="912" w:type="pct"/>
            <w:vAlign w:val="center"/>
          </w:tcPr>
          <w:p>
            <w:pPr>
              <w:adjustRightInd w:val="0"/>
              <w:snapToGrid w:val="0"/>
              <w:ind w:left="-105" w:leftChars="-50" w:right="-105" w:rightChars="-50"/>
              <w:jc w:val="center"/>
              <w:rPr>
                <w:rFonts w:ascii="仿宋_GB2312" w:eastAsia="仿宋_GB2312"/>
                <w:sz w:val="24"/>
              </w:rPr>
            </w:pPr>
            <w:r>
              <w:rPr>
                <w:rFonts w:ascii="仿宋_GB2312" w:eastAsia="仿宋_GB2312"/>
                <w:sz w:val="24"/>
              </w:rPr>
              <w:t>0</w:t>
            </w:r>
            <w:r>
              <w:rPr>
                <w:rFonts w:hint="eastAsia" w:ascii="仿宋_GB2312" w:eastAsia="仿宋_GB2312"/>
                <w:sz w:val="24"/>
              </w:rPr>
              <w:t>8:</w:t>
            </w:r>
            <w:r>
              <w:rPr>
                <w:rFonts w:ascii="仿宋_GB2312" w:eastAsia="仿宋_GB2312"/>
                <w:sz w:val="24"/>
              </w:rPr>
              <w:t>2</w:t>
            </w:r>
            <w:r>
              <w:rPr>
                <w:rFonts w:hint="eastAsia" w:ascii="仿宋_GB2312" w:eastAsia="仿宋_GB2312"/>
                <w:sz w:val="24"/>
              </w:rPr>
              <w:t>5</w:t>
            </w:r>
            <w:r>
              <w:rPr>
                <w:rFonts w:ascii="仿宋_GB2312" w:eastAsia="仿宋_GB2312"/>
                <w:sz w:val="24"/>
              </w:rPr>
              <w:t>-0</w:t>
            </w:r>
            <w:r>
              <w:rPr>
                <w:rFonts w:hint="eastAsia" w:ascii="仿宋_GB2312" w:eastAsia="仿宋_GB2312"/>
                <w:sz w:val="24"/>
              </w:rPr>
              <w:t>8:</w:t>
            </w:r>
            <w:r>
              <w:rPr>
                <w:rFonts w:ascii="仿宋_GB2312" w:eastAsia="仿宋_GB2312"/>
                <w:sz w:val="24"/>
              </w:rPr>
              <w:t>5</w:t>
            </w:r>
            <w:r>
              <w:rPr>
                <w:rFonts w:hint="eastAsia" w:ascii="仿宋_GB2312" w:eastAsia="仿宋_GB2312"/>
                <w:sz w:val="24"/>
              </w:rPr>
              <w:t>0</w:t>
            </w:r>
          </w:p>
        </w:tc>
        <w:tc>
          <w:tcPr>
            <w:tcW w:w="978" w:type="pct"/>
            <w:vAlign w:val="center"/>
          </w:tcPr>
          <w:p>
            <w:pPr>
              <w:adjustRightInd w:val="0"/>
              <w:snapToGrid w:val="0"/>
              <w:rPr>
                <w:rFonts w:eastAsia="仿宋_GB2312"/>
                <w:sz w:val="24"/>
              </w:rPr>
            </w:pPr>
            <w:r>
              <w:rPr>
                <w:rFonts w:hint="eastAsia" w:eastAsia="仿宋_GB2312"/>
                <w:sz w:val="24"/>
              </w:rPr>
              <w:t>竞赛入场检录</w:t>
            </w:r>
          </w:p>
        </w:tc>
        <w:tc>
          <w:tcPr>
            <w:tcW w:w="2198" w:type="pct"/>
            <w:vAlign w:val="center"/>
          </w:tcPr>
          <w:p>
            <w:pPr>
              <w:adjustRightInd w:val="0"/>
              <w:snapToGrid w:val="0"/>
              <w:rPr>
                <w:rFonts w:ascii="仿宋_GB2312" w:eastAsia="仿宋_GB2312"/>
                <w:sz w:val="24"/>
              </w:rPr>
            </w:pPr>
            <w:r>
              <w:rPr>
                <w:rFonts w:hint="eastAsia" w:ascii="仿宋_GB2312" w:eastAsia="仿宋_GB2312"/>
                <w:sz w:val="24"/>
              </w:rPr>
              <w:t>参赛选手凭赛位号接受入场检录确认没有携带竞赛禁止的工具和材料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2" w:type="pct"/>
            <w:vMerge w:val="continue"/>
            <w:vAlign w:val="center"/>
          </w:tcPr>
          <w:p>
            <w:pPr>
              <w:adjustRightInd w:val="0"/>
              <w:snapToGrid w:val="0"/>
              <w:ind w:left="-105" w:leftChars="-50" w:right="-105" w:rightChars="-50"/>
              <w:jc w:val="center"/>
              <w:rPr>
                <w:rFonts w:ascii="仿宋_GB2312" w:eastAsia="仿宋_GB2312"/>
                <w:sz w:val="24"/>
              </w:rPr>
            </w:pPr>
          </w:p>
        </w:tc>
        <w:tc>
          <w:tcPr>
            <w:tcW w:w="912" w:type="pct"/>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08:5</w:t>
            </w:r>
            <w:r>
              <w:rPr>
                <w:rFonts w:ascii="仿宋_GB2312" w:eastAsia="仿宋_GB2312"/>
                <w:sz w:val="24"/>
              </w:rPr>
              <w:t>0</w:t>
            </w:r>
            <w:r>
              <w:rPr>
                <w:rFonts w:hint="eastAsia" w:ascii="仿宋_GB2312" w:eastAsia="仿宋_GB2312"/>
                <w:sz w:val="24"/>
              </w:rPr>
              <w:t>-09:00</w:t>
            </w:r>
          </w:p>
        </w:tc>
        <w:tc>
          <w:tcPr>
            <w:tcW w:w="978" w:type="pct"/>
            <w:vAlign w:val="center"/>
          </w:tcPr>
          <w:p>
            <w:pPr>
              <w:adjustRightInd w:val="0"/>
              <w:snapToGrid w:val="0"/>
              <w:rPr>
                <w:rFonts w:eastAsia="仿宋_GB2312"/>
                <w:sz w:val="24"/>
              </w:rPr>
            </w:pPr>
            <w:r>
              <w:rPr>
                <w:rFonts w:hint="eastAsia" w:eastAsia="仿宋_GB2312"/>
                <w:sz w:val="24"/>
              </w:rPr>
              <w:t>竞赛选手</w:t>
            </w:r>
            <w:r>
              <w:rPr>
                <w:rFonts w:hint="eastAsia" w:ascii="仿宋_GB2312" w:eastAsia="仿宋_GB2312"/>
                <w:sz w:val="24"/>
              </w:rPr>
              <w:t>入场就位、发布竞赛任务</w:t>
            </w:r>
          </w:p>
        </w:tc>
        <w:tc>
          <w:tcPr>
            <w:tcW w:w="2198" w:type="pct"/>
            <w:vAlign w:val="center"/>
          </w:tcPr>
          <w:p>
            <w:pPr>
              <w:adjustRightInd w:val="0"/>
              <w:snapToGrid w:val="0"/>
              <w:rPr>
                <w:rFonts w:ascii="仿宋_GB2312" w:hAnsi="宋体" w:eastAsia="仿宋_GB2312" w:cs="宋体"/>
                <w:kern w:val="0"/>
                <w:sz w:val="24"/>
              </w:rPr>
            </w:pPr>
            <w:r>
              <w:rPr>
                <w:rFonts w:hint="eastAsia" w:ascii="仿宋_GB2312" w:eastAsia="仿宋_GB2312"/>
                <w:sz w:val="24"/>
              </w:rPr>
              <w:t>参赛选手根据赛位号由工作人员引导进入竞赛工位、</w:t>
            </w:r>
            <w:r>
              <w:rPr>
                <w:rFonts w:hint="eastAsia" w:ascii="仿宋_GB2312" w:hAnsi="宋体" w:eastAsia="仿宋_GB2312" w:cs="宋体"/>
                <w:kern w:val="0"/>
                <w:sz w:val="24"/>
              </w:rPr>
              <w:t>裁判宣读竞赛规则及赛场规则，发布竞赛任务并作必要说明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2" w:type="pct"/>
            <w:vMerge w:val="continue"/>
            <w:vAlign w:val="center"/>
          </w:tcPr>
          <w:p>
            <w:pPr>
              <w:adjustRightInd w:val="0"/>
              <w:snapToGrid w:val="0"/>
              <w:ind w:left="-105" w:leftChars="-50" w:right="-105" w:rightChars="-50"/>
              <w:jc w:val="center"/>
              <w:rPr>
                <w:rFonts w:ascii="仿宋_GB2312" w:eastAsia="仿宋_GB2312"/>
                <w:sz w:val="24"/>
              </w:rPr>
            </w:pPr>
          </w:p>
        </w:tc>
        <w:tc>
          <w:tcPr>
            <w:tcW w:w="912" w:type="pct"/>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09:00</w:t>
            </w:r>
            <w:r>
              <w:rPr>
                <w:rFonts w:ascii="仿宋_GB2312" w:eastAsia="仿宋_GB2312"/>
                <w:sz w:val="24"/>
              </w:rPr>
              <w:t>-1</w:t>
            </w:r>
            <w:r>
              <w:rPr>
                <w:rFonts w:hint="eastAsia" w:ascii="仿宋_GB2312" w:eastAsia="仿宋_GB2312"/>
                <w:sz w:val="24"/>
                <w:lang w:val="en-US" w:eastAsia="zh-CN"/>
              </w:rPr>
              <w:t>1</w:t>
            </w:r>
            <w:r>
              <w:rPr>
                <w:rFonts w:hint="eastAsia" w:ascii="仿宋_GB2312" w:eastAsia="仿宋_GB2312"/>
                <w:sz w:val="24"/>
              </w:rPr>
              <w:t>:</w:t>
            </w:r>
            <w:r>
              <w:rPr>
                <w:rFonts w:ascii="仿宋_GB2312" w:eastAsia="仿宋_GB2312"/>
                <w:sz w:val="24"/>
              </w:rPr>
              <w:t>0</w:t>
            </w:r>
            <w:r>
              <w:rPr>
                <w:rFonts w:hint="eastAsia" w:ascii="仿宋_GB2312" w:eastAsia="仿宋_GB2312"/>
                <w:sz w:val="24"/>
              </w:rPr>
              <w:t>0</w:t>
            </w:r>
          </w:p>
        </w:tc>
        <w:tc>
          <w:tcPr>
            <w:tcW w:w="978" w:type="pct"/>
            <w:vAlign w:val="center"/>
          </w:tcPr>
          <w:p>
            <w:pPr>
              <w:adjustRightInd w:val="0"/>
              <w:snapToGrid w:val="0"/>
              <w:rPr>
                <w:rFonts w:ascii="仿宋_GB2312" w:eastAsia="仿宋_GB2312"/>
                <w:sz w:val="24"/>
              </w:rPr>
            </w:pPr>
            <w:r>
              <w:rPr>
                <w:rFonts w:hint="eastAsia" w:ascii="仿宋_GB2312" w:eastAsia="仿宋_GB2312"/>
                <w:sz w:val="24"/>
              </w:rPr>
              <w:t>竞赛</w:t>
            </w:r>
          </w:p>
        </w:tc>
        <w:tc>
          <w:tcPr>
            <w:tcW w:w="2198" w:type="pct"/>
            <w:vAlign w:val="center"/>
          </w:tcPr>
          <w:p>
            <w:pPr>
              <w:adjustRightInd w:val="0"/>
              <w:snapToGrid w:val="0"/>
              <w:rPr>
                <w:rFonts w:ascii="仿宋_GB2312" w:eastAsia="仿宋_GB2312"/>
                <w:sz w:val="24"/>
              </w:rPr>
            </w:pPr>
            <w:r>
              <w:rPr>
                <w:rFonts w:hint="eastAsia" w:ascii="仿宋_GB2312" w:eastAsia="仿宋_GB2312"/>
                <w:sz w:val="24"/>
              </w:rPr>
              <w:t>-</w:t>
            </w:r>
            <w:r>
              <w:rPr>
                <w:rFonts w:ascii="仿宋_GB2312"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2" w:type="pct"/>
            <w:vMerge w:val="continue"/>
            <w:vAlign w:val="center"/>
          </w:tcPr>
          <w:p>
            <w:pPr>
              <w:adjustRightInd w:val="0"/>
              <w:snapToGrid w:val="0"/>
              <w:ind w:left="-105" w:leftChars="-50" w:right="-105" w:rightChars="-50"/>
              <w:jc w:val="center"/>
              <w:rPr>
                <w:rFonts w:ascii="仿宋_GB2312" w:eastAsia="仿宋_GB2312"/>
                <w:sz w:val="24"/>
              </w:rPr>
            </w:pPr>
          </w:p>
        </w:tc>
        <w:tc>
          <w:tcPr>
            <w:tcW w:w="912" w:type="pct"/>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1</w:t>
            </w:r>
            <w:r>
              <w:rPr>
                <w:rFonts w:hint="eastAsia" w:ascii="仿宋_GB2312" w:eastAsia="仿宋_GB2312"/>
                <w:sz w:val="24"/>
              </w:rPr>
              <w:t>:</w:t>
            </w:r>
            <w:r>
              <w:rPr>
                <w:rFonts w:ascii="仿宋_GB2312" w:eastAsia="仿宋_GB2312"/>
                <w:sz w:val="24"/>
              </w:rPr>
              <w:t>0</w:t>
            </w:r>
            <w:r>
              <w:rPr>
                <w:rFonts w:hint="eastAsia" w:ascii="仿宋_GB2312" w:eastAsia="仿宋_GB2312"/>
                <w:sz w:val="24"/>
              </w:rPr>
              <w:t>0-</w:t>
            </w:r>
            <w:r>
              <w:rPr>
                <w:rFonts w:ascii="仿宋_GB2312" w:eastAsia="仿宋_GB2312"/>
                <w:sz w:val="24"/>
              </w:rPr>
              <w:t>1</w:t>
            </w:r>
            <w:r>
              <w:rPr>
                <w:rFonts w:hint="eastAsia" w:ascii="仿宋_GB2312" w:eastAsia="仿宋_GB2312"/>
                <w:sz w:val="24"/>
                <w:lang w:val="en-US" w:eastAsia="zh-CN"/>
              </w:rPr>
              <w:t>2</w:t>
            </w:r>
            <w:r>
              <w:rPr>
                <w:rFonts w:hint="eastAsia" w:ascii="仿宋_GB2312" w:eastAsia="仿宋_GB2312"/>
                <w:sz w:val="24"/>
              </w:rPr>
              <w:t>:</w:t>
            </w:r>
            <w:r>
              <w:rPr>
                <w:rFonts w:ascii="仿宋_GB2312" w:eastAsia="仿宋_GB2312"/>
                <w:sz w:val="24"/>
              </w:rPr>
              <w:t>0</w:t>
            </w:r>
            <w:r>
              <w:rPr>
                <w:rFonts w:hint="eastAsia" w:ascii="仿宋_GB2312" w:eastAsia="仿宋_GB2312"/>
                <w:sz w:val="24"/>
              </w:rPr>
              <w:t>0</w:t>
            </w:r>
          </w:p>
        </w:tc>
        <w:tc>
          <w:tcPr>
            <w:tcW w:w="978" w:type="pct"/>
            <w:vAlign w:val="center"/>
          </w:tcPr>
          <w:p>
            <w:pPr>
              <w:adjustRightInd w:val="0"/>
              <w:snapToGrid w:val="0"/>
              <w:rPr>
                <w:rFonts w:ascii="仿宋_GB2312" w:eastAsia="仿宋_GB2312"/>
                <w:sz w:val="24"/>
              </w:rPr>
            </w:pPr>
            <w:r>
              <w:rPr>
                <w:rFonts w:hint="eastAsia" w:ascii="仿宋_GB2312" w:eastAsia="仿宋_GB2312"/>
                <w:sz w:val="24"/>
              </w:rPr>
              <w:t>赛项申诉与仲裁</w:t>
            </w:r>
          </w:p>
        </w:tc>
        <w:tc>
          <w:tcPr>
            <w:tcW w:w="2198" w:type="pct"/>
            <w:vAlign w:val="center"/>
          </w:tcPr>
          <w:p>
            <w:pPr>
              <w:adjustRightInd w:val="0"/>
              <w:snapToGrid w:val="0"/>
              <w:rPr>
                <w:rFonts w:ascii="仿宋_GB2312" w:eastAsia="仿宋_GB2312"/>
                <w:sz w:val="24"/>
              </w:rPr>
            </w:pPr>
            <w:r>
              <w:rPr>
                <w:rFonts w:hint="eastAsia" w:ascii="仿宋_GB2312"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2" w:type="pct"/>
            <w:vMerge w:val="continue"/>
            <w:vAlign w:val="center"/>
          </w:tcPr>
          <w:p>
            <w:pPr>
              <w:adjustRightInd w:val="0"/>
              <w:snapToGrid w:val="0"/>
              <w:ind w:left="-105" w:leftChars="-50" w:right="-105" w:rightChars="-50"/>
              <w:jc w:val="center"/>
              <w:rPr>
                <w:rFonts w:ascii="仿宋_GB2312" w:eastAsia="仿宋_GB2312"/>
                <w:sz w:val="24"/>
              </w:rPr>
            </w:pPr>
          </w:p>
        </w:tc>
        <w:tc>
          <w:tcPr>
            <w:tcW w:w="912" w:type="pct"/>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2</w:t>
            </w:r>
            <w:r>
              <w:rPr>
                <w:rFonts w:hint="eastAsia" w:ascii="仿宋_GB2312" w:eastAsia="仿宋_GB2312"/>
                <w:sz w:val="24"/>
              </w:rPr>
              <w:t>:</w:t>
            </w:r>
            <w:r>
              <w:rPr>
                <w:rFonts w:ascii="仿宋_GB2312" w:eastAsia="仿宋_GB2312"/>
                <w:sz w:val="24"/>
              </w:rPr>
              <w:t>0</w:t>
            </w:r>
            <w:r>
              <w:rPr>
                <w:rFonts w:hint="eastAsia" w:ascii="仿宋_GB2312" w:eastAsia="仿宋_GB2312"/>
                <w:sz w:val="24"/>
              </w:rPr>
              <w:t>0-</w:t>
            </w:r>
            <w:r>
              <w:rPr>
                <w:rFonts w:ascii="仿宋_GB2312" w:eastAsia="仿宋_GB2312"/>
                <w:sz w:val="24"/>
              </w:rPr>
              <w:t>1</w:t>
            </w:r>
            <w:r>
              <w:rPr>
                <w:rFonts w:hint="eastAsia" w:ascii="仿宋_GB2312" w:eastAsia="仿宋_GB2312"/>
                <w:sz w:val="24"/>
                <w:lang w:val="en-US" w:eastAsia="zh-CN"/>
              </w:rPr>
              <w:t>2</w:t>
            </w:r>
            <w:r>
              <w:rPr>
                <w:rFonts w:hint="eastAsia" w:ascii="仿宋_GB2312" w:eastAsia="仿宋_GB2312"/>
                <w:sz w:val="24"/>
              </w:rPr>
              <w:t>:</w:t>
            </w:r>
            <w:r>
              <w:rPr>
                <w:rFonts w:ascii="仿宋_GB2312" w:eastAsia="仿宋_GB2312"/>
                <w:sz w:val="24"/>
              </w:rPr>
              <w:t>00</w:t>
            </w:r>
          </w:p>
        </w:tc>
        <w:tc>
          <w:tcPr>
            <w:tcW w:w="978" w:type="pct"/>
            <w:vAlign w:val="center"/>
          </w:tcPr>
          <w:p>
            <w:pPr>
              <w:adjustRightInd w:val="0"/>
              <w:snapToGrid w:val="0"/>
              <w:rPr>
                <w:rFonts w:ascii="仿宋_GB2312" w:eastAsia="仿宋_GB2312"/>
                <w:sz w:val="24"/>
              </w:rPr>
            </w:pPr>
            <w:r>
              <w:rPr>
                <w:rFonts w:hint="eastAsia" w:ascii="仿宋_GB2312" w:eastAsia="仿宋_GB2312"/>
                <w:sz w:val="24"/>
              </w:rPr>
              <w:t>评分</w:t>
            </w:r>
          </w:p>
        </w:tc>
        <w:tc>
          <w:tcPr>
            <w:tcW w:w="2198" w:type="pct"/>
            <w:vAlign w:val="center"/>
          </w:tcPr>
          <w:p>
            <w:pPr>
              <w:adjustRightInd w:val="0"/>
              <w:snapToGrid w:val="0"/>
              <w:rPr>
                <w:rFonts w:ascii="仿宋_GB2312" w:eastAsia="仿宋_GB2312"/>
                <w:sz w:val="24"/>
              </w:rPr>
            </w:pPr>
            <w:r>
              <w:rPr>
                <w:rFonts w:hint="eastAsia" w:ascii="仿宋_GB2312" w:eastAsia="仿宋_GB2312"/>
                <w:sz w:val="24"/>
              </w:rPr>
              <w:t>裁判组对竞赛的各参赛队评分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2" w:type="pct"/>
            <w:vMerge w:val="continue"/>
            <w:vAlign w:val="center"/>
          </w:tcPr>
          <w:p>
            <w:pPr>
              <w:adjustRightInd w:val="0"/>
              <w:snapToGrid w:val="0"/>
              <w:ind w:left="-105" w:leftChars="-50" w:right="-105" w:rightChars="-50"/>
              <w:jc w:val="center"/>
              <w:rPr>
                <w:rFonts w:ascii="仿宋_GB2312" w:eastAsia="仿宋_GB2312"/>
                <w:sz w:val="24"/>
              </w:rPr>
            </w:pPr>
          </w:p>
        </w:tc>
        <w:tc>
          <w:tcPr>
            <w:tcW w:w="912" w:type="pct"/>
            <w:vAlign w:val="center"/>
          </w:tcPr>
          <w:p>
            <w:pPr>
              <w:adjustRightInd w:val="0"/>
              <w:snapToGrid w:val="0"/>
              <w:ind w:left="-105" w:leftChars="-50" w:right="-105" w:rightChars="-50"/>
              <w:jc w:val="center"/>
              <w:rPr>
                <w:rFonts w:ascii="仿宋_GB2312" w:eastAsia="仿宋_GB2312"/>
                <w:sz w:val="24"/>
              </w:rPr>
            </w:pPr>
            <w:r>
              <w:rPr>
                <w:rFonts w:ascii="仿宋_GB2312" w:eastAsia="仿宋_GB2312"/>
                <w:sz w:val="24"/>
              </w:rPr>
              <w:t>1</w:t>
            </w:r>
            <w:r>
              <w:rPr>
                <w:rFonts w:hint="eastAsia" w:ascii="仿宋_GB2312" w:eastAsia="仿宋_GB2312"/>
                <w:sz w:val="24"/>
                <w:lang w:val="en-US" w:eastAsia="zh-CN"/>
              </w:rPr>
              <w:t>2</w:t>
            </w:r>
            <w:r>
              <w:rPr>
                <w:rFonts w:ascii="仿宋_GB2312" w:eastAsia="仿宋_GB2312"/>
                <w:sz w:val="24"/>
              </w:rPr>
              <w:t>:00-1</w:t>
            </w:r>
            <w:r>
              <w:rPr>
                <w:rFonts w:hint="eastAsia" w:ascii="仿宋_GB2312" w:eastAsia="仿宋_GB2312"/>
                <w:sz w:val="24"/>
                <w:lang w:val="en-US" w:eastAsia="zh-CN"/>
              </w:rPr>
              <w:t>4</w:t>
            </w:r>
            <w:r>
              <w:rPr>
                <w:rFonts w:hint="eastAsia" w:ascii="仿宋_GB2312" w:eastAsia="仿宋_GB2312"/>
                <w:sz w:val="24"/>
              </w:rPr>
              <w:t>:</w:t>
            </w:r>
            <w:r>
              <w:rPr>
                <w:rFonts w:ascii="仿宋_GB2312" w:eastAsia="仿宋_GB2312"/>
                <w:sz w:val="24"/>
              </w:rPr>
              <w:t>00</w:t>
            </w:r>
          </w:p>
        </w:tc>
        <w:tc>
          <w:tcPr>
            <w:tcW w:w="978" w:type="pct"/>
            <w:vAlign w:val="center"/>
          </w:tcPr>
          <w:p>
            <w:pPr>
              <w:adjustRightInd w:val="0"/>
              <w:snapToGrid w:val="0"/>
              <w:rPr>
                <w:rFonts w:eastAsia="仿宋_GB2312"/>
                <w:sz w:val="24"/>
              </w:rPr>
            </w:pPr>
            <w:r>
              <w:rPr>
                <w:rFonts w:hint="eastAsia" w:ascii="仿宋_GB2312" w:eastAsia="仿宋_GB2312"/>
                <w:sz w:val="24"/>
              </w:rPr>
              <w:t>解密</w:t>
            </w:r>
          </w:p>
        </w:tc>
        <w:tc>
          <w:tcPr>
            <w:tcW w:w="2198" w:type="pct"/>
            <w:vAlign w:val="center"/>
          </w:tcPr>
          <w:p>
            <w:pPr>
              <w:adjustRightInd w:val="0"/>
              <w:snapToGrid w:val="0"/>
              <w:rPr>
                <w:rFonts w:ascii="仿宋_GB2312" w:eastAsia="仿宋_GB2312"/>
                <w:sz w:val="24"/>
              </w:rPr>
            </w:pPr>
            <w:r>
              <w:rPr>
                <w:rFonts w:hint="eastAsia" w:ascii="仿宋_GB2312" w:eastAsia="仿宋_GB2312"/>
                <w:sz w:val="24"/>
              </w:rPr>
              <w:t>对加密信息进行解密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2" w:type="pct"/>
            <w:vMerge w:val="continue"/>
            <w:vAlign w:val="center"/>
          </w:tcPr>
          <w:p>
            <w:pPr>
              <w:adjustRightInd w:val="0"/>
              <w:snapToGrid w:val="0"/>
              <w:ind w:left="-105" w:leftChars="-50" w:right="-105" w:rightChars="-50"/>
              <w:jc w:val="center"/>
              <w:rPr>
                <w:rFonts w:ascii="仿宋_GB2312" w:eastAsia="仿宋_GB2312"/>
                <w:sz w:val="24"/>
              </w:rPr>
            </w:pPr>
          </w:p>
        </w:tc>
        <w:tc>
          <w:tcPr>
            <w:tcW w:w="912" w:type="pct"/>
            <w:vAlign w:val="center"/>
          </w:tcPr>
          <w:p>
            <w:pPr>
              <w:adjustRightInd w:val="0"/>
              <w:snapToGrid w:val="0"/>
              <w:ind w:left="-105" w:leftChars="-50" w:right="-105" w:rightChars="-50"/>
              <w:jc w:val="center"/>
              <w:rPr>
                <w:rFonts w:ascii="仿宋_GB2312" w:eastAsia="仿宋_GB2312"/>
                <w:sz w:val="24"/>
              </w:rPr>
            </w:pPr>
            <w:r>
              <w:rPr>
                <w:rFonts w:ascii="仿宋_GB2312" w:eastAsia="仿宋_GB2312"/>
                <w:sz w:val="24"/>
              </w:rPr>
              <w:t>1</w:t>
            </w:r>
            <w:r>
              <w:rPr>
                <w:rFonts w:hint="eastAsia" w:ascii="仿宋_GB2312" w:eastAsia="仿宋_GB2312"/>
                <w:sz w:val="24"/>
                <w:lang w:val="en-US" w:eastAsia="zh-CN"/>
              </w:rPr>
              <w:t>4</w:t>
            </w:r>
            <w:r>
              <w:rPr>
                <w:rFonts w:ascii="仿宋_GB2312" w:eastAsia="仿宋_GB2312"/>
                <w:sz w:val="24"/>
              </w:rPr>
              <w:t>:00-</w:t>
            </w:r>
            <w:r>
              <w:rPr>
                <w:rFonts w:hint="eastAsia" w:ascii="仿宋_GB2312" w:eastAsia="仿宋_GB2312"/>
                <w:sz w:val="24"/>
                <w:lang w:val="en-US" w:eastAsia="zh-CN"/>
              </w:rPr>
              <w:t>15</w:t>
            </w:r>
            <w:r>
              <w:rPr>
                <w:rFonts w:ascii="仿宋_GB2312" w:eastAsia="仿宋_GB2312"/>
                <w:sz w:val="24"/>
              </w:rPr>
              <w:t>:00</w:t>
            </w:r>
          </w:p>
        </w:tc>
        <w:tc>
          <w:tcPr>
            <w:tcW w:w="978" w:type="pct"/>
            <w:vAlign w:val="center"/>
          </w:tcPr>
          <w:p>
            <w:pPr>
              <w:adjustRightInd w:val="0"/>
              <w:snapToGrid w:val="0"/>
              <w:rPr>
                <w:rFonts w:ascii="仿宋_GB2312" w:eastAsia="仿宋_GB2312"/>
                <w:sz w:val="24"/>
              </w:rPr>
            </w:pPr>
            <w:r>
              <w:rPr>
                <w:rFonts w:hint="eastAsia" w:eastAsia="仿宋_GB2312"/>
                <w:sz w:val="24"/>
              </w:rPr>
              <w:t>成绩确认</w:t>
            </w:r>
          </w:p>
        </w:tc>
        <w:tc>
          <w:tcPr>
            <w:tcW w:w="2198" w:type="pct"/>
            <w:vAlign w:val="center"/>
          </w:tcPr>
          <w:p>
            <w:pPr>
              <w:adjustRightInd w:val="0"/>
              <w:snapToGrid w:val="0"/>
              <w:rPr>
                <w:rFonts w:ascii="仿宋_GB2312" w:eastAsia="仿宋_GB2312"/>
                <w:sz w:val="24"/>
              </w:rPr>
            </w:pPr>
            <w:r>
              <w:rPr>
                <w:rFonts w:hint="eastAsia" w:eastAsia="仿宋_GB2312"/>
                <w:sz w:val="24"/>
              </w:rPr>
              <w:t>对成绩确认并封存。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2" w:type="pct"/>
            <w:vMerge w:val="continue"/>
            <w:vAlign w:val="center"/>
          </w:tcPr>
          <w:p>
            <w:pPr>
              <w:adjustRightInd w:val="0"/>
              <w:snapToGrid w:val="0"/>
              <w:ind w:left="-105" w:leftChars="-50" w:right="-105" w:rightChars="-50"/>
              <w:jc w:val="center"/>
              <w:rPr>
                <w:rFonts w:ascii="仿宋_GB2312" w:eastAsia="仿宋_GB2312"/>
                <w:sz w:val="24"/>
              </w:rPr>
            </w:pPr>
          </w:p>
        </w:tc>
        <w:tc>
          <w:tcPr>
            <w:tcW w:w="912" w:type="pct"/>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lang w:val="en-US" w:eastAsia="zh-CN"/>
              </w:rPr>
              <w:t>15</w:t>
            </w:r>
            <w:r>
              <w:rPr>
                <w:rFonts w:ascii="仿宋_GB2312" w:eastAsia="仿宋_GB2312"/>
                <w:sz w:val="24"/>
              </w:rPr>
              <w:t>:00-</w:t>
            </w:r>
            <w:r>
              <w:rPr>
                <w:rFonts w:hint="eastAsia" w:ascii="仿宋_GB2312" w:eastAsia="仿宋_GB2312"/>
                <w:sz w:val="24"/>
                <w:lang w:val="en-US" w:eastAsia="zh-CN"/>
              </w:rPr>
              <w:t>16</w:t>
            </w:r>
            <w:r>
              <w:rPr>
                <w:rFonts w:ascii="仿宋_GB2312" w:eastAsia="仿宋_GB2312"/>
                <w:sz w:val="24"/>
              </w:rPr>
              <w:t>:00</w:t>
            </w:r>
          </w:p>
        </w:tc>
        <w:tc>
          <w:tcPr>
            <w:tcW w:w="978" w:type="pct"/>
            <w:vAlign w:val="center"/>
          </w:tcPr>
          <w:p>
            <w:pPr>
              <w:adjustRightInd w:val="0"/>
              <w:snapToGrid w:val="0"/>
              <w:rPr>
                <w:rFonts w:eastAsia="仿宋_GB2312"/>
                <w:sz w:val="24"/>
              </w:rPr>
            </w:pPr>
            <w:r>
              <w:rPr>
                <w:rFonts w:hint="eastAsia" w:eastAsia="仿宋_GB2312"/>
                <w:sz w:val="24"/>
              </w:rPr>
              <w:t>汇总成绩</w:t>
            </w:r>
          </w:p>
        </w:tc>
        <w:tc>
          <w:tcPr>
            <w:tcW w:w="2198" w:type="pct"/>
            <w:vAlign w:val="center"/>
          </w:tcPr>
          <w:p>
            <w:pPr>
              <w:adjustRightInd w:val="0"/>
              <w:snapToGrid w:val="0"/>
              <w:rPr>
                <w:rFonts w:eastAsia="仿宋_GB2312"/>
                <w:sz w:val="24"/>
              </w:rPr>
            </w:pPr>
            <w:r>
              <w:rPr>
                <w:rFonts w:hint="eastAsia" w:eastAsia="仿宋_GB2312"/>
                <w:sz w:val="24"/>
              </w:rPr>
              <w:t>对比赛成绩进行汇总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2" w:type="pct"/>
            <w:vMerge w:val="continue"/>
            <w:vAlign w:val="center"/>
          </w:tcPr>
          <w:p>
            <w:pPr>
              <w:adjustRightInd w:val="0"/>
              <w:snapToGrid w:val="0"/>
              <w:ind w:left="-105" w:leftChars="-50" w:right="-105" w:rightChars="-50"/>
              <w:jc w:val="center"/>
              <w:rPr>
                <w:rFonts w:ascii="仿宋_GB2312" w:eastAsia="仿宋_GB2312"/>
                <w:sz w:val="24"/>
              </w:rPr>
            </w:pPr>
          </w:p>
        </w:tc>
        <w:tc>
          <w:tcPr>
            <w:tcW w:w="912" w:type="pct"/>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lang w:val="en-US" w:eastAsia="zh-CN"/>
              </w:rPr>
              <w:t>16</w:t>
            </w:r>
            <w:r>
              <w:rPr>
                <w:rFonts w:ascii="仿宋_GB2312" w:eastAsia="仿宋_GB2312"/>
                <w:sz w:val="24"/>
              </w:rPr>
              <w:t>:00-00:00</w:t>
            </w:r>
          </w:p>
        </w:tc>
        <w:tc>
          <w:tcPr>
            <w:tcW w:w="978" w:type="pct"/>
            <w:vAlign w:val="center"/>
          </w:tcPr>
          <w:p>
            <w:pPr>
              <w:adjustRightInd w:val="0"/>
              <w:snapToGrid w:val="0"/>
              <w:rPr>
                <w:rFonts w:eastAsia="仿宋_GB2312"/>
                <w:sz w:val="24"/>
              </w:rPr>
            </w:pPr>
            <w:r>
              <w:rPr>
                <w:rFonts w:hint="eastAsia" w:eastAsia="仿宋_GB2312"/>
                <w:sz w:val="24"/>
              </w:rPr>
              <w:t>成绩公布</w:t>
            </w:r>
          </w:p>
        </w:tc>
        <w:tc>
          <w:tcPr>
            <w:tcW w:w="2198" w:type="pct"/>
            <w:vAlign w:val="center"/>
          </w:tcPr>
          <w:p>
            <w:pPr>
              <w:adjustRightInd w:val="0"/>
              <w:snapToGrid w:val="0"/>
              <w:rPr>
                <w:rFonts w:eastAsia="仿宋_GB2312"/>
                <w:sz w:val="24"/>
              </w:rPr>
            </w:pPr>
            <w:r>
              <w:rPr>
                <w:rFonts w:hint="eastAsia" w:eastAsia="仿宋_GB2312"/>
                <w:sz w:val="24"/>
                <w:shd w:val="clear" w:color="auto" w:fill="FFFFFF"/>
              </w:rPr>
              <w:t>在指定地点，以纸质形式向全体参赛队公布成绩</w:t>
            </w:r>
          </w:p>
        </w:tc>
      </w:tr>
    </w:tbl>
    <w:p>
      <w:pPr>
        <w:snapToGrid w:val="0"/>
        <w:spacing w:line="560" w:lineRule="exact"/>
        <w:rPr>
          <w:rFonts w:ascii="仿宋_GB2312" w:hAnsi="Arial Narrow" w:eastAsia="仿宋_GB2312" w:cs="Arial"/>
          <w:sz w:val="28"/>
          <w:szCs w:val="30"/>
        </w:rPr>
      </w:pPr>
      <w:r>
        <w:rPr>
          <w:rFonts w:hint="eastAsia" w:ascii="仿宋_GB2312" w:hAnsi="Arial Narrow" w:eastAsia="仿宋_GB2312" w:cs="Arial"/>
          <w:sz w:val="28"/>
          <w:szCs w:val="30"/>
        </w:rPr>
        <w:t>注：根据工位数和参赛选手人数增</w:t>
      </w:r>
      <w:r>
        <w:rPr>
          <w:rFonts w:ascii="仿宋_GB2312" w:hAnsi="Arial Narrow" w:eastAsia="仿宋_GB2312" w:cs="Arial"/>
          <w:sz w:val="28"/>
          <w:szCs w:val="30"/>
        </w:rPr>
        <w:t>/减竞赛场次。</w:t>
      </w:r>
    </w:p>
    <w:p>
      <w:pPr>
        <w:snapToGrid w:val="0"/>
        <w:spacing w:line="560" w:lineRule="exact"/>
        <w:outlineLvl w:val="0"/>
        <w:rPr>
          <w:rFonts w:ascii="Arial Narrow" w:hAnsi="Arial Narrow" w:eastAsia="仿宋_GB2312" w:cs="Arial"/>
          <w:sz w:val="28"/>
          <w:szCs w:val="30"/>
        </w:rPr>
      </w:pPr>
      <w:r>
        <w:rPr>
          <w:rFonts w:hint="eastAsia" w:ascii="Arial Narrow" w:hAnsi="Arial Narrow" w:eastAsia="仿宋_GB2312" w:cs="Arial"/>
          <w:sz w:val="28"/>
          <w:szCs w:val="30"/>
        </w:rPr>
        <w:t>（三</w:t>
      </w:r>
      <w:r>
        <w:rPr>
          <w:rFonts w:ascii="Arial Narrow" w:hAnsi="Arial Narrow" w:eastAsia="仿宋_GB2312" w:cs="Arial"/>
          <w:sz w:val="28"/>
          <w:szCs w:val="30"/>
        </w:rPr>
        <w:t>）竞</w:t>
      </w:r>
      <w:r>
        <w:rPr>
          <w:rFonts w:hint="eastAsia" w:ascii="Arial Narrow" w:hAnsi="Arial Narrow" w:eastAsia="仿宋_GB2312" w:cs="Arial"/>
          <w:sz w:val="28"/>
          <w:szCs w:val="30"/>
        </w:rPr>
        <w:t>赛过程</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1.参赛选手入场和就位</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参赛选手使用报到时领取的抽签号，进行一级加密顺序号及二级加密赛位号的抽取，入场时赛位号进行检录查询赛场的位置，并按照工位位置就位等候比赛开始；</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2.竞赛过程</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在裁判长宣布比赛开始后，各参赛选手通过赛位号找到比赛工位，正式进行竞赛，按照每个工位提供的任务书上的项目要求，完成每个项目任务要求，并按照任务要求提交和保存竞赛结果；</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3.竞赛结束</w:t>
      </w:r>
    </w:p>
    <w:p>
      <w:pPr>
        <w:ind w:firstLine="560" w:firstLineChars="200"/>
      </w:pPr>
      <w:r>
        <w:rPr>
          <w:rFonts w:hint="eastAsia" w:ascii="仿宋_GB2312" w:hAnsi="Arial Narrow" w:eastAsia="仿宋_GB2312" w:cs="Arial"/>
          <w:sz w:val="28"/>
          <w:szCs w:val="30"/>
        </w:rPr>
        <w:t>在竞赛规定时间到达后，裁判长会宣布竞赛结束，每个竞赛工位设备锁定，参赛选手停止所有操作，并按照裁判组要求有次序的离开竞赛场地。</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六、竞赛试题</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本赛项的命题工作由赛项执委会指定的命题专家组负责，按照竞赛规程的内容要求，在方向和难度上依据教育部颁发的职业院校相关专业人才培养标准和国家职业标准，结合物联网人才培养要求和物联网企业岗位需要进行设计，命题专家在完成命题后，交由赛项执委会指定的专家进行审核。</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七、竞赛规则</w:t>
      </w:r>
    </w:p>
    <w:p>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一）</w:t>
      </w:r>
      <w:r>
        <w:rPr>
          <w:rFonts w:hint="eastAsia" w:ascii="仿宋_GB2312" w:hAnsi="仿宋" w:eastAsia="仿宋_GB2312"/>
          <w:kern w:val="0"/>
          <w:sz w:val="28"/>
          <w:szCs w:val="28"/>
        </w:rPr>
        <w:t>参赛资格</w:t>
      </w:r>
    </w:p>
    <w:p>
      <w:pPr>
        <w:widowControl/>
        <w:snapToGrid w:val="0"/>
        <w:spacing w:line="560" w:lineRule="exact"/>
        <w:ind w:firstLine="560" w:firstLineChars="200"/>
        <w:rPr>
          <w:rFonts w:ascii="Calibri" w:hAnsi="Calibri" w:eastAsia="仿宋_GB2312"/>
          <w:color w:val="000000"/>
          <w:sz w:val="28"/>
          <w:szCs w:val="28"/>
        </w:rPr>
      </w:pPr>
      <w:r>
        <w:rPr>
          <w:rFonts w:ascii="仿宋_GB2312" w:hAnsi="仿宋" w:eastAsia="仿宋_GB2312"/>
          <w:color w:val="000000"/>
          <w:kern w:val="0"/>
          <w:sz w:val="28"/>
          <w:szCs w:val="28"/>
        </w:rPr>
        <w:t>参赛选手须为中等职业学校全日制在籍学生，五年制高职学生报名参赛的，一至三年级（含三年级）学生参加中职组比赛</w:t>
      </w:r>
      <w:r>
        <w:rPr>
          <w:rFonts w:hint="eastAsia" w:ascii="仿宋_GB2312" w:hAnsi="仿宋" w:eastAsia="仿宋_GB2312"/>
          <w:color w:val="000000"/>
          <w:kern w:val="0"/>
          <w:sz w:val="28"/>
          <w:szCs w:val="28"/>
        </w:rPr>
        <w:t>。</w:t>
      </w:r>
      <w:r>
        <w:rPr>
          <w:rFonts w:hint="eastAsia" w:ascii="Calibri" w:hAnsi="Calibri" w:eastAsia="仿宋_GB2312"/>
          <w:color w:val="000000"/>
          <w:sz w:val="28"/>
          <w:szCs w:val="28"/>
        </w:rPr>
        <w:t>原则上参赛选手经过各级选拔产生；凡在往届全国职业院校技能大赛中获一等奖的选手，不能再参加同一项目同一组别的比赛。参赛选手的资格审查工作按照《全国职业院校技能大赛制度汇编》要求执行。</w:t>
      </w:r>
    </w:p>
    <w:p>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（二</w:t>
      </w:r>
      <w:r>
        <w:rPr>
          <w:rFonts w:ascii="仿宋_GB2312" w:hAnsi="仿宋" w:eastAsia="仿宋_GB2312"/>
          <w:kern w:val="0"/>
          <w:sz w:val="28"/>
          <w:szCs w:val="28"/>
        </w:rPr>
        <w:t>）</w:t>
      </w:r>
      <w:r>
        <w:rPr>
          <w:rFonts w:hint="eastAsia" w:ascii="仿宋_GB2312" w:hAnsi="仿宋" w:eastAsia="仿宋_GB2312"/>
          <w:kern w:val="0"/>
          <w:sz w:val="28"/>
          <w:szCs w:val="28"/>
        </w:rPr>
        <w:t>报名要求</w:t>
      </w:r>
    </w:p>
    <w:p>
      <w:pPr>
        <w:widowControl/>
        <w:snapToGrid w:val="0"/>
        <w:spacing w:line="560" w:lineRule="exact"/>
        <w:ind w:firstLine="560" w:firstLineChars="200"/>
        <w:rPr>
          <w:rFonts w:ascii="仿宋_GB2312" w:hAnsi="仿宋" w:eastAsia="仿宋_GB2312"/>
          <w:sz w:val="28"/>
          <w:szCs w:val="28"/>
        </w:rPr>
      </w:pPr>
      <w:r>
        <w:rPr>
          <w:rFonts w:hint="eastAsia" w:ascii="Calibri" w:hAnsi="Calibri" w:eastAsia="仿宋_GB2312"/>
          <w:sz w:val="28"/>
          <w:szCs w:val="28"/>
        </w:rPr>
        <w:t>本赛项为团体赛，以院校为单位组织组队参赛，不允许跨校组队。</w:t>
      </w:r>
      <w:r>
        <w:rPr>
          <w:rFonts w:hint="eastAsia" w:ascii="仿宋_GB2312" w:eastAsia="仿宋_GB2312"/>
          <w:sz w:val="28"/>
        </w:rPr>
        <w:t>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三）</w:t>
      </w:r>
      <w:r>
        <w:rPr>
          <w:rFonts w:hint="eastAsia" w:ascii="仿宋_GB2312" w:hAnsi="仿宋" w:eastAsia="仿宋_GB2312"/>
          <w:kern w:val="0"/>
          <w:sz w:val="28"/>
          <w:szCs w:val="28"/>
        </w:rPr>
        <w:t>赛前</w:t>
      </w:r>
      <w:r>
        <w:rPr>
          <w:rFonts w:ascii="仿宋_GB2312" w:hAnsi="仿宋" w:eastAsia="仿宋_GB2312"/>
          <w:kern w:val="0"/>
          <w:sz w:val="28"/>
          <w:szCs w:val="28"/>
        </w:rPr>
        <w:t>准备</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1.参赛选手应在竞赛日程规定的时间熟悉竞赛场地，选手可进入竞赛场地及工位熟悉。</w:t>
      </w:r>
    </w:p>
    <w:p>
      <w:pPr>
        <w:widowControl/>
        <w:snapToGri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2.参赛队熟悉竞赛场地后，认为所提供的设备、工具等不符合竞赛规定或有异议时，参赛队领队必须在1小时内提出书面报告，送交赛项执委会进行处理，超过时效将不予受理。</w:t>
      </w:r>
    </w:p>
    <w:p>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四）正式比赛</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参赛选手须提前</w:t>
      </w:r>
      <w:r>
        <w:rPr>
          <w:rFonts w:ascii="仿宋_GB2312" w:hAnsi="仿宋" w:eastAsia="仿宋_GB2312"/>
          <w:kern w:val="0"/>
          <w:sz w:val="28"/>
          <w:szCs w:val="28"/>
        </w:rPr>
        <w:t>20</w:t>
      </w:r>
      <w:r>
        <w:rPr>
          <w:rFonts w:hint="eastAsia" w:ascii="仿宋_GB2312" w:hAnsi="仿宋" w:eastAsia="仿宋_GB2312"/>
          <w:kern w:val="0"/>
          <w:sz w:val="28"/>
          <w:szCs w:val="28"/>
        </w:rPr>
        <w:t>分钟入场，入场必须佩戴参赛证并出示身份证和学生证。不得私自携带任何软硬件工具（各种便携式电脑、各种移动存储设备等）、技术资源和通信工具。按工位号入座，检查比赛所需竞赛设备齐全后，由参赛选手签字确认方可开始比赛。选手在比赛中应注意随时存盘。迟到超过</w:t>
      </w:r>
      <w:r>
        <w:rPr>
          <w:rFonts w:ascii="仿宋_GB2312" w:hAnsi="仿宋" w:eastAsia="仿宋_GB2312"/>
          <w:kern w:val="0"/>
          <w:sz w:val="28"/>
          <w:szCs w:val="28"/>
        </w:rPr>
        <w:t>10</w:t>
      </w:r>
      <w:r>
        <w:rPr>
          <w:rFonts w:hint="eastAsia" w:ascii="仿宋_GB2312" w:hAnsi="仿宋" w:eastAsia="仿宋_GB2312"/>
          <w:kern w:val="0"/>
          <w:sz w:val="28"/>
          <w:szCs w:val="28"/>
        </w:rPr>
        <w:t>分钟不得入场。竞赛期间不准出场，竞赛结束后方可离场。</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2</w:t>
      </w:r>
      <w:r>
        <w:rPr>
          <w:rFonts w:ascii="仿宋_GB2312" w:hAnsi="仿宋" w:eastAsia="仿宋_GB2312"/>
          <w:kern w:val="0"/>
          <w:sz w:val="28"/>
          <w:szCs w:val="28"/>
        </w:rPr>
        <w:t>.</w:t>
      </w:r>
      <w:r>
        <w:rPr>
          <w:rFonts w:hint="eastAsia" w:ascii="仿宋_GB2312" w:hAnsi="仿宋" w:eastAsia="仿宋_GB2312"/>
          <w:kern w:val="0"/>
          <w:sz w:val="28"/>
          <w:szCs w:val="28"/>
        </w:rPr>
        <w:t>竞赛过程中，每个参赛队内部成员之间可以互相沟通，但不得与任何其它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3</w:t>
      </w:r>
      <w:r>
        <w:rPr>
          <w:rFonts w:ascii="仿宋_GB2312" w:hAnsi="仿宋" w:eastAsia="仿宋_GB2312"/>
          <w:kern w:val="0"/>
          <w:sz w:val="28"/>
          <w:szCs w:val="28"/>
        </w:rPr>
        <w:t>.</w:t>
      </w:r>
      <w:r>
        <w:rPr>
          <w:rFonts w:hint="eastAsia" w:ascii="仿宋_GB2312" w:hAnsi="仿宋" w:eastAsia="仿宋_GB2312"/>
          <w:kern w:val="0"/>
          <w:sz w:val="28"/>
          <w:szCs w:val="28"/>
        </w:rPr>
        <w:t>竞赛过程中除裁判和其他必须进入考场的工作人员外，任何其它非竞赛选手不得进入竞赛场地。</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4</w:t>
      </w:r>
      <w:r>
        <w:rPr>
          <w:rFonts w:ascii="仿宋_GB2312" w:hAnsi="仿宋" w:eastAsia="仿宋_GB2312"/>
          <w:kern w:val="0"/>
          <w:sz w:val="28"/>
          <w:szCs w:val="28"/>
        </w:rPr>
        <w:t>.</w:t>
      </w:r>
      <w:r>
        <w:rPr>
          <w:rFonts w:hint="eastAsia" w:ascii="仿宋_GB2312" w:hAnsi="仿宋" w:eastAsia="仿宋_GB2312"/>
          <w:kern w:val="0"/>
          <w:sz w:val="28"/>
          <w:szCs w:val="28"/>
        </w:rPr>
        <w:t>竞赛赛程结束（或提前完成）后，参赛队要确认成功提交竞赛要求的文件，裁判员与参赛队队长一起签字确认，参赛队在确认后不得再进行任何操作。</w:t>
      </w:r>
    </w:p>
    <w:p>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（五）</w:t>
      </w:r>
      <w:r>
        <w:rPr>
          <w:rFonts w:ascii="仿宋_GB2312" w:hAnsi="仿宋" w:eastAsia="仿宋_GB2312"/>
          <w:kern w:val="0"/>
          <w:sz w:val="28"/>
          <w:szCs w:val="28"/>
        </w:rPr>
        <w:t>成绩公示与公布</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Arial Narrow" w:eastAsia="仿宋_GB2312" w:cs="Arial"/>
          <w:sz w:val="28"/>
          <w:szCs w:val="30"/>
        </w:rPr>
        <w:t>赛项成绩解密后汇总后，经裁判长签字，在赛项执委会指定的地点，以纸质形式向全体参赛队进行公布。</w:t>
      </w:r>
    </w:p>
    <w:p>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六）</w:t>
      </w:r>
      <w:r>
        <w:rPr>
          <w:rFonts w:hint="eastAsia" w:ascii="仿宋_GB2312" w:hAnsi="仿宋" w:eastAsia="仿宋_GB2312"/>
          <w:kern w:val="0"/>
          <w:sz w:val="28"/>
          <w:szCs w:val="28"/>
        </w:rPr>
        <w:t>其</w:t>
      </w:r>
      <w:r>
        <w:rPr>
          <w:rFonts w:ascii="仿宋_GB2312" w:hAnsi="仿宋" w:eastAsia="仿宋_GB2312"/>
          <w:kern w:val="0"/>
          <w:sz w:val="28"/>
          <w:szCs w:val="28"/>
        </w:rPr>
        <w:t>他</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参赛选手应严格遵守赛场纪律，服从指挥，着装整洁，仪表端庄，讲文明礼貌。各地代表队之间应团结、友好、协作，避免各种矛盾发生。</w:t>
      </w:r>
    </w:p>
    <w:p>
      <w:pPr>
        <w:ind w:firstLine="560" w:firstLineChars="200"/>
      </w:pPr>
      <w:r>
        <w:rPr>
          <w:rFonts w:hint="eastAsia" w:ascii="仿宋_GB2312" w:hAnsi="仿宋" w:eastAsia="仿宋_GB2312"/>
          <w:kern w:val="0"/>
          <w:sz w:val="28"/>
          <w:szCs w:val="28"/>
        </w:rPr>
        <w:t>2</w:t>
      </w:r>
      <w:r>
        <w:rPr>
          <w:rFonts w:ascii="仿宋_GB2312" w:hAnsi="仿宋" w:eastAsia="仿宋_GB2312"/>
          <w:kern w:val="0"/>
          <w:sz w:val="28"/>
          <w:szCs w:val="28"/>
        </w:rPr>
        <w:t>.</w:t>
      </w:r>
      <w:r>
        <w:rPr>
          <w:rFonts w:hint="eastAsia" w:ascii="仿宋_GB2312" w:hAnsi="仿宋" w:eastAsia="仿宋_GB2312"/>
          <w:kern w:val="0"/>
          <w:sz w:val="28"/>
          <w:szCs w:val="28"/>
        </w:rPr>
        <w:t>其它未尽事宜，将在竞赛指南或赛前说明会向各领队做详细说明。</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八、竞赛环境</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1.竞赛场地。竞赛现场设置竞赛区、裁判区、服务区、技术支持区。现场保证良好的采光、照明和通风；提供稳定的水、电和供电应急设备。同时提供所有指导教师休息室1间。</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2.竞赛设备。所有竞赛设备由赛项执委会负责提供和保障，竞赛区按照参赛队数量准备比赛所需的软硬件平台，为参赛队提供标准竞赛设备。</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3.竞赛工位。竞赛现场各个工作区配备单相220V/3A以上交流电源。每个比赛工位上标明编号。每个比赛间配有工作台，用于摆放计算机和其它调试设备工具等。配备2把工作椅（凳）。</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4.技术支持区为参赛选手提供公用备件等竞赛相关设备。</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5.服务区提供医疗等服务保障。</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九、技术规范</w:t>
      </w:r>
    </w:p>
    <w:p>
      <w:pPr>
        <w:snapToGrid w:val="0"/>
        <w:spacing w:line="560" w:lineRule="exact"/>
        <w:ind w:firstLine="560" w:firstLineChars="200"/>
        <w:rPr>
          <w:rFonts w:ascii="仿宋_GB2312" w:hAnsi="宋体" w:eastAsia="仿宋_GB2312" w:cs="宋体"/>
          <w:sz w:val="28"/>
          <w:szCs w:val="28"/>
        </w:rPr>
      </w:pPr>
      <w:r>
        <w:rPr>
          <w:rFonts w:hint="eastAsia" w:ascii="仿宋_GB2312" w:hAnsi="Arial Narrow" w:eastAsia="仿宋_GB2312" w:cs="Arial"/>
          <w:sz w:val="28"/>
          <w:szCs w:val="30"/>
        </w:rPr>
        <w:t>竞赛项目的命题结合企业职业岗位对人才培养需求，并参照以下相关标准制定：</w:t>
      </w:r>
    </w:p>
    <w:p>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 xml:space="preserve">《物联网安装调试员国家职业技能标准》 </w:t>
      </w:r>
    </w:p>
    <w:p>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 xml:space="preserve">GB/T 33474-2016 物联网参考体系结构 </w:t>
      </w:r>
    </w:p>
    <w:p>
      <w:pPr>
        <w:snapToGrid w:val="0"/>
        <w:spacing w:line="560" w:lineRule="exact"/>
        <w:ind w:left="560"/>
        <w:rPr>
          <w:rFonts w:ascii="仿宋_GB2312" w:hAnsi="Arial Narrow" w:eastAsia="仿宋_GB2312" w:cs="Arial"/>
          <w:sz w:val="28"/>
          <w:szCs w:val="30"/>
        </w:rPr>
      </w:pPr>
      <w:r>
        <w:rPr>
          <w:rFonts w:ascii="仿宋_GB2312" w:hAnsi="Arial Narrow" w:eastAsia="仿宋_GB2312" w:cs="Arial"/>
          <w:sz w:val="28"/>
          <w:szCs w:val="30"/>
        </w:rPr>
        <w:t xml:space="preserve">ISO/IEC 29182-5-2013 </w:t>
      </w:r>
      <w:r>
        <w:rPr>
          <w:rFonts w:hint="eastAsia" w:ascii="仿宋_GB2312" w:hAnsi="Arial Narrow" w:eastAsia="仿宋_GB2312" w:cs="Arial"/>
          <w:sz w:val="28"/>
          <w:szCs w:val="30"/>
        </w:rPr>
        <w:t>信息技术</w:t>
      </w:r>
      <w:r>
        <w:rPr>
          <w:rFonts w:ascii="仿宋_GB2312" w:hAnsi="Arial Narrow" w:eastAsia="仿宋_GB2312" w:cs="Arial"/>
          <w:sz w:val="28"/>
          <w:szCs w:val="30"/>
        </w:rPr>
        <w:t>-</w:t>
      </w:r>
      <w:r>
        <w:rPr>
          <w:rFonts w:hint="eastAsia" w:ascii="仿宋_GB2312" w:hAnsi="Arial Narrow" w:eastAsia="仿宋_GB2312" w:cs="Arial"/>
          <w:sz w:val="28"/>
          <w:szCs w:val="30"/>
        </w:rPr>
        <w:t>传感器网络：传感器网络参考体系结构</w:t>
      </w:r>
    </w:p>
    <w:p>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 xml:space="preserve">GB 50311-2016 综合布线系统工程设计规范 </w:t>
      </w:r>
    </w:p>
    <w:p>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GB21671-2008</w:t>
      </w:r>
      <w:r>
        <w:rPr>
          <w:rFonts w:ascii="仿宋_GB2312" w:hAnsi="Arial Narrow" w:eastAsia="仿宋_GB2312" w:cs="Arial"/>
          <w:sz w:val="28"/>
          <w:szCs w:val="30"/>
        </w:rPr>
        <w:t xml:space="preserve"> </w:t>
      </w:r>
      <w:r>
        <w:rPr>
          <w:rFonts w:hint="eastAsia" w:ascii="仿宋_GB2312" w:hAnsi="Arial Narrow" w:eastAsia="仿宋_GB2312" w:cs="Arial"/>
          <w:sz w:val="28"/>
          <w:szCs w:val="30"/>
        </w:rPr>
        <w:t>基于以太网技术的局域网系统验收测评规范</w:t>
      </w:r>
    </w:p>
    <w:p>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 xml:space="preserve">GB/T 34068-2017 物联网总体技术智能传感器接口规范 </w:t>
      </w:r>
    </w:p>
    <w:p>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GB/T 33745-2017 物联网 术语</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十、技术平台</w:t>
      </w:r>
    </w:p>
    <w:p>
      <w:pPr>
        <w:spacing w:line="560" w:lineRule="exact"/>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（一）通用计算机环境</w:t>
      </w:r>
    </w:p>
    <w:p>
      <w:pPr>
        <w:spacing w:line="560" w:lineRule="exact"/>
        <w:ind w:firstLine="560" w:firstLineChars="200"/>
        <w:rPr>
          <w:rFonts w:ascii="仿宋_GB2312" w:eastAsia="仿宋_GB2312"/>
          <w:color w:val="000000"/>
          <w:sz w:val="28"/>
          <w:szCs w:val="28"/>
        </w:rPr>
      </w:pPr>
      <w:r>
        <w:rPr>
          <w:rFonts w:ascii="仿宋_GB2312" w:eastAsia="仿宋_GB2312"/>
          <w:color w:val="000000"/>
          <w:sz w:val="28"/>
          <w:szCs w:val="28"/>
        </w:rPr>
        <w:t>个人计算机（ PC 机）， 配置不低于以下参数：</w:t>
      </w:r>
    </w:p>
    <w:p>
      <w:pPr>
        <w:numPr>
          <w:ilvl w:val="0"/>
          <w:numId w:val="1"/>
        </w:numPr>
        <w:spacing w:line="560" w:lineRule="exact"/>
        <w:rPr>
          <w:rFonts w:ascii="仿宋_GB2312" w:eastAsia="仿宋_GB2312"/>
          <w:color w:val="000000"/>
          <w:sz w:val="28"/>
          <w:szCs w:val="28"/>
        </w:rPr>
      </w:pPr>
      <w:r>
        <w:rPr>
          <w:rFonts w:ascii="仿宋_GB2312" w:eastAsia="仿宋_GB2312"/>
          <w:color w:val="000000"/>
          <w:sz w:val="28"/>
          <w:szCs w:val="28"/>
        </w:rPr>
        <w:t>CPU：Intel i5；</w:t>
      </w:r>
    </w:p>
    <w:p>
      <w:pPr>
        <w:numPr>
          <w:ilvl w:val="0"/>
          <w:numId w:val="1"/>
        </w:numPr>
        <w:spacing w:line="560" w:lineRule="exact"/>
        <w:rPr>
          <w:rFonts w:ascii="仿宋_GB2312" w:eastAsia="仿宋_GB2312"/>
          <w:color w:val="000000"/>
          <w:sz w:val="28"/>
          <w:szCs w:val="28"/>
        </w:rPr>
      </w:pPr>
      <w:r>
        <w:rPr>
          <w:rFonts w:ascii="仿宋_GB2312" w:eastAsia="仿宋_GB2312"/>
          <w:color w:val="000000"/>
          <w:sz w:val="28"/>
          <w:szCs w:val="28"/>
        </w:rPr>
        <w:t>内存容量：8G；</w:t>
      </w:r>
    </w:p>
    <w:p>
      <w:pPr>
        <w:numPr>
          <w:ilvl w:val="0"/>
          <w:numId w:val="1"/>
        </w:numPr>
        <w:spacing w:line="560" w:lineRule="exact"/>
        <w:rPr>
          <w:rFonts w:ascii="仿宋_GB2312" w:eastAsia="仿宋_GB2312"/>
          <w:color w:val="000000"/>
          <w:sz w:val="28"/>
          <w:szCs w:val="28"/>
        </w:rPr>
      </w:pPr>
      <w:r>
        <w:rPr>
          <w:rFonts w:ascii="仿宋_GB2312" w:eastAsia="仿宋_GB2312"/>
          <w:color w:val="000000"/>
          <w:sz w:val="28"/>
          <w:szCs w:val="28"/>
        </w:rPr>
        <w:t>硬盘：256G固态盘；</w:t>
      </w:r>
    </w:p>
    <w:p>
      <w:pPr>
        <w:numPr>
          <w:ilvl w:val="0"/>
          <w:numId w:val="1"/>
        </w:numPr>
        <w:spacing w:line="560" w:lineRule="exact"/>
        <w:rPr>
          <w:rFonts w:ascii="仿宋_GB2312" w:eastAsia="仿宋_GB2312"/>
          <w:color w:val="000000"/>
          <w:sz w:val="28"/>
          <w:szCs w:val="28"/>
        </w:rPr>
      </w:pPr>
      <w:r>
        <w:rPr>
          <w:rFonts w:ascii="仿宋_GB2312" w:eastAsia="仿宋_GB2312"/>
          <w:color w:val="000000"/>
          <w:sz w:val="28"/>
          <w:szCs w:val="28"/>
        </w:rPr>
        <w:t>接口：1 个串口，4个USB端口。</w:t>
      </w:r>
    </w:p>
    <w:p>
      <w:pPr>
        <w:numPr>
          <w:ilvl w:val="0"/>
          <w:numId w:val="2"/>
        </w:numPr>
        <w:spacing w:line="560" w:lineRule="exact"/>
        <w:rPr>
          <w:rFonts w:ascii="Arial Narrow" w:hAnsi="Arial Narrow" w:eastAsia="仿宋_GB2312" w:cs="宋体"/>
          <w:sz w:val="28"/>
          <w:szCs w:val="28"/>
        </w:rPr>
      </w:pPr>
      <w:r>
        <w:rPr>
          <w:rFonts w:ascii="仿宋_GB2312" w:eastAsia="仿宋_GB2312"/>
          <w:color w:val="000000"/>
          <w:sz w:val="28"/>
          <w:szCs w:val="28"/>
        </w:rPr>
        <w:t>个人计算机配备不低于以下版本的软件：</w:t>
      </w:r>
      <w:r>
        <w:t xml:space="preserve"> </w:t>
      </w:r>
    </w:p>
    <w:tbl>
      <w:tblPr>
        <w:tblStyle w:val="9"/>
        <w:tblW w:w="5038" w:type="pct"/>
        <w:jc w:val="center"/>
        <w:tblLayout w:type="autofit"/>
        <w:tblCellMar>
          <w:top w:w="0" w:type="dxa"/>
          <w:left w:w="108" w:type="dxa"/>
          <w:bottom w:w="0" w:type="dxa"/>
          <w:right w:w="108" w:type="dxa"/>
        </w:tblCellMar>
      </w:tblPr>
      <w:tblGrid>
        <w:gridCol w:w="776"/>
        <w:gridCol w:w="1111"/>
        <w:gridCol w:w="5971"/>
        <w:gridCol w:w="729"/>
      </w:tblGrid>
      <w:tr>
        <w:tblPrEx>
          <w:tblCellMar>
            <w:top w:w="0" w:type="dxa"/>
            <w:left w:w="108" w:type="dxa"/>
            <w:bottom w:w="0" w:type="dxa"/>
            <w:right w:w="108" w:type="dxa"/>
          </w:tblCellMar>
        </w:tblPrEx>
        <w:trPr>
          <w:trHeight w:val="342"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序号</w:t>
            </w:r>
          </w:p>
        </w:tc>
        <w:tc>
          <w:tcPr>
            <w:tcW w:w="647" w:type="pct"/>
            <w:tcBorders>
              <w:top w:val="single" w:color="auto" w:sz="4" w:space="0"/>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类别</w:t>
            </w:r>
          </w:p>
        </w:tc>
        <w:tc>
          <w:tcPr>
            <w:tcW w:w="3477" w:type="pct"/>
            <w:tcBorders>
              <w:top w:val="single" w:color="auto" w:sz="4" w:space="0"/>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设备</w:t>
            </w:r>
          </w:p>
        </w:tc>
        <w:tc>
          <w:tcPr>
            <w:tcW w:w="424" w:type="pct"/>
            <w:tcBorders>
              <w:top w:val="single" w:color="auto" w:sz="4" w:space="0"/>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数量</w:t>
            </w:r>
          </w:p>
        </w:tc>
      </w:tr>
      <w:tr>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c>
          <w:tcPr>
            <w:tcW w:w="647" w:type="pct"/>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347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 xml:space="preserve">Microsoft windows </w:t>
            </w:r>
            <w:r>
              <w:rPr>
                <w:rFonts w:hint="eastAsia" w:ascii="仿宋_GB2312" w:hAnsi="Arial Narrow" w:eastAsia="仿宋_GB2312" w:cs="宋体"/>
                <w:sz w:val="24"/>
                <w:szCs w:val="24"/>
              </w:rPr>
              <w:t>10（64位）</w:t>
            </w:r>
          </w:p>
        </w:tc>
        <w:tc>
          <w:tcPr>
            <w:tcW w:w="424"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2</w:t>
            </w:r>
          </w:p>
        </w:tc>
        <w:tc>
          <w:tcPr>
            <w:tcW w:w="647" w:type="pct"/>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347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Ubuntu 18.4</w:t>
            </w:r>
            <w:r>
              <w:rPr>
                <w:rFonts w:hint="eastAsia" w:ascii="仿宋" w:hAnsi="仿宋" w:eastAsia="仿宋" w:cs="宋体"/>
                <w:sz w:val="24"/>
              </w:rPr>
              <w:t>（及以上）</w:t>
            </w:r>
          </w:p>
        </w:tc>
        <w:tc>
          <w:tcPr>
            <w:tcW w:w="424"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3</w:t>
            </w:r>
          </w:p>
        </w:tc>
        <w:tc>
          <w:tcPr>
            <w:tcW w:w="647" w:type="pct"/>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347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Microsoft Office 2016</w:t>
            </w:r>
          </w:p>
        </w:tc>
        <w:tc>
          <w:tcPr>
            <w:tcW w:w="424"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4</w:t>
            </w:r>
          </w:p>
        </w:tc>
        <w:tc>
          <w:tcPr>
            <w:tcW w:w="647" w:type="pct"/>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347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Microsoft Visio 2016</w:t>
            </w:r>
          </w:p>
        </w:tc>
        <w:tc>
          <w:tcPr>
            <w:tcW w:w="424"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5</w:t>
            </w:r>
          </w:p>
        </w:tc>
        <w:tc>
          <w:tcPr>
            <w:tcW w:w="64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347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IAR Embedded Workbench for 8051 8.10.1</w:t>
            </w:r>
          </w:p>
        </w:tc>
        <w:tc>
          <w:tcPr>
            <w:tcW w:w="424"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6</w:t>
            </w:r>
          </w:p>
        </w:tc>
        <w:tc>
          <w:tcPr>
            <w:tcW w:w="64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347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Keil uVision 5</w:t>
            </w:r>
          </w:p>
        </w:tc>
        <w:tc>
          <w:tcPr>
            <w:tcW w:w="424"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7</w:t>
            </w:r>
          </w:p>
        </w:tc>
        <w:tc>
          <w:tcPr>
            <w:tcW w:w="64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347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VS</w:t>
            </w:r>
            <w:r>
              <w:rPr>
                <w:rFonts w:hint="eastAsia" w:ascii="仿宋_GB2312" w:hAnsi="Arial Narrow" w:eastAsia="仿宋_GB2312" w:cs="宋体"/>
                <w:sz w:val="24"/>
                <w:szCs w:val="24"/>
              </w:rPr>
              <w:t>C</w:t>
            </w:r>
            <w:r>
              <w:rPr>
                <w:rFonts w:ascii="仿宋_GB2312" w:hAnsi="Arial Narrow" w:eastAsia="仿宋_GB2312" w:cs="宋体"/>
                <w:sz w:val="24"/>
                <w:szCs w:val="24"/>
              </w:rPr>
              <w:t>ode 1.52及以上</w:t>
            </w:r>
          </w:p>
        </w:tc>
        <w:tc>
          <w:tcPr>
            <w:tcW w:w="424"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1</w:t>
            </w:r>
          </w:p>
        </w:tc>
      </w:tr>
      <w:tr>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8</w:t>
            </w:r>
          </w:p>
        </w:tc>
        <w:tc>
          <w:tcPr>
            <w:tcW w:w="64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347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仿宋" w:eastAsia="仿宋_GB2312"/>
                <w:sz w:val="24"/>
                <w:szCs w:val="24"/>
              </w:rPr>
              <w:t>Python 3.6</w:t>
            </w:r>
          </w:p>
        </w:tc>
        <w:tc>
          <w:tcPr>
            <w:tcW w:w="424"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1</w:t>
            </w:r>
          </w:p>
        </w:tc>
      </w:tr>
      <w:tr>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9</w:t>
            </w:r>
          </w:p>
        </w:tc>
        <w:tc>
          <w:tcPr>
            <w:tcW w:w="64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3477" w:type="pct"/>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仿宋" w:eastAsia="仿宋_GB2312"/>
                <w:sz w:val="24"/>
                <w:szCs w:val="24"/>
              </w:rPr>
              <w:t>PyCharm社区版 2022.1</w:t>
            </w:r>
          </w:p>
        </w:tc>
        <w:tc>
          <w:tcPr>
            <w:tcW w:w="424"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1</w:t>
            </w:r>
          </w:p>
        </w:tc>
      </w:tr>
      <w:tr>
        <w:tblPrEx>
          <w:tblCellMar>
            <w:top w:w="0" w:type="dxa"/>
            <w:left w:w="108" w:type="dxa"/>
            <w:bottom w:w="0" w:type="dxa"/>
            <w:right w:w="108" w:type="dxa"/>
          </w:tblCellMar>
        </w:tblPrEx>
        <w:trPr>
          <w:trHeight w:val="120" w:hRule="atLeast"/>
          <w:jc w:val="center"/>
        </w:trPr>
        <w:tc>
          <w:tcPr>
            <w:tcW w:w="452" w:type="pct"/>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10</w:t>
            </w:r>
          </w:p>
        </w:tc>
        <w:tc>
          <w:tcPr>
            <w:tcW w:w="64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3477" w:type="pct"/>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仿宋" w:eastAsia="仿宋_GB2312"/>
                <w:sz w:val="24"/>
                <w:szCs w:val="24"/>
              </w:rPr>
              <w:t>Internet Information Services(IIS)</w:t>
            </w:r>
          </w:p>
        </w:tc>
        <w:tc>
          <w:tcPr>
            <w:tcW w:w="424"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11</w:t>
            </w:r>
          </w:p>
        </w:tc>
        <w:tc>
          <w:tcPr>
            <w:tcW w:w="647"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3477" w:type="pct"/>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仿宋" w:eastAsia="仿宋_GB2312"/>
                <w:sz w:val="24"/>
                <w:szCs w:val="24"/>
              </w:rPr>
              <w:t>SQL Server 2012</w:t>
            </w:r>
          </w:p>
        </w:tc>
        <w:tc>
          <w:tcPr>
            <w:tcW w:w="424" w:type="pct"/>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CellMar>
            <w:top w:w="0" w:type="dxa"/>
            <w:left w:w="108" w:type="dxa"/>
            <w:bottom w:w="0" w:type="dxa"/>
            <w:right w:w="108" w:type="dxa"/>
          </w:tblCellMar>
        </w:tblPrEx>
        <w:trPr>
          <w:trHeight w:val="342"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12</w:t>
            </w:r>
          </w:p>
        </w:tc>
        <w:tc>
          <w:tcPr>
            <w:tcW w:w="647" w:type="pct"/>
            <w:tcBorders>
              <w:top w:val="single" w:color="auto" w:sz="4" w:space="0"/>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3477" w:type="pct"/>
            <w:tcBorders>
              <w:top w:val="single" w:color="auto" w:sz="4" w:space="0"/>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调试软件、网络扫描、侦听工具、串口调试助手等</w:t>
            </w:r>
          </w:p>
        </w:tc>
        <w:tc>
          <w:tcPr>
            <w:tcW w:w="424" w:type="pct"/>
            <w:tcBorders>
              <w:top w:val="single" w:color="auto" w:sz="4" w:space="0"/>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bl>
    <w:p>
      <w:pPr>
        <w:spacing w:line="560" w:lineRule="exact"/>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（二）竞赛设备</w:t>
      </w:r>
    </w:p>
    <w:tbl>
      <w:tblPr>
        <w:tblStyle w:val="9"/>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577"/>
        <w:gridCol w:w="1597"/>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序号</w:t>
            </w:r>
          </w:p>
        </w:tc>
        <w:tc>
          <w:tcPr>
            <w:tcW w:w="2083" w:type="pct"/>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设备名称</w:t>
            </w:r>
          </w:p>
        </w:tc>
        <w:tc>
          <w:tcPr>
            <w:tcW w:w="930" w:type="pct"/>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单位</w:t>
            </w:r>
          </w:p>
        </w:tc>
        <w:tc>
          <w:tcPr>
            <w:tcW w:w="1561" w:type="pct"/>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c>
          <w:tcPr>
            <w:tcW w:w="2083" w:type="pct"/>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物联网全栈智能应用实训系统</w:t>
            </w:r>
          </w:p>
        </w:tc>
        <w:tc>
          <w:tcPr>
            <w:tcW w:w="930" w:type="pct"/>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套</w:t>
            </w:r>
          </w:p>
        </w:tc>
        <w:tc>
          <w:tcPr>
            <w:tcW w:w="1561" w:type="pct"/>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2</w:t>
            </w:r>
          </w:p>
        </w:tc>
        <w:tc>
          <w:tcPr>
            <w:tcW w:w="2083" w:type="pct"/>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物联网工具箱及耗材包</w:t>
            </w:r>
          </w:p>
        </w:tc>
        <w:tc>
          <w:tcPr>
            <w:tcW w:w="930" w:type="pct"/>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套</w:t>
            </w:r>
          </w:p>
        </w:tc>
        <w:tc>
          <w:tcPr>
            <w:tcW w:w="1561" w:type="pct"/>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3</w:t>
            </w:r>
          </w:p>
        </w:tc>
        <w:tc>
          <w:tcPr>
            <w:tcW w:w="2083" w:type="pct"/>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工作台</w:t>
            </w:r>
          </w:p>
        </w:tc>
        <w:tc>
          <w:tcPr>
            <w:tcW w:w="930" w:type="pct"/>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张</w:t>
            </w:r>
          </w:p>
        </w:tc>
        <w:tc>
          <w:tcPr>
            <w:tcW w:w="1561" w:type="pct"/>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4</w:t>
            </w:r>
          </w:p>
        </w:tc>
        <w:tc>
          <w:tcPr>
            <w:tcW w:w="2083" w:type="pct"/>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计算机</w:t>
            </w:r>
          </w:p>
        </w:tc>
        <w:tc>
          <w:tcPr>
            <w:tcW w:w="930" w:type="pct"/>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台</w:t>
            </w:r>
          </w:p>
        </w:tc>
        <w:tc>
          <w:tcPr>
            <w:tcW w:w="1561" w:type="pct"/>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2</w:t>
            </w:r>
          </w:p>
        </w:tc>
      </w:tr>
    </w:tbl>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十一、成绩评定</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竞赛评分本着公平公正公开的原则，评分标准注重对参赛选手价值观与态度、物联网技术应用能力、团队协作与沟通及组织与管理能力的考察。以技能考核为主，兼顾团队协作精神和职业道德素养综合评定。</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（一）评分规则</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本项目评分标准分为：评价分（主观）、测量分（客观）。按各模块评分表分别设置评分小组，由裁判长指定各组裁判人员，分别对各模块进行评分。各评分小组负责所有选手同一指标的现场评分，并签字确认评分结果。</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1、评价分（主观）</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评价分（</w:t>
      </w:r>
      <w:r>
        <w:rPr>
          <w:rFonts w:ascii="仿宋_GB2312" w:hAnsi="Arial Narrow" w:eastAsia="仿宋_GB2312" w:cs="Arial"/>
          <w:sz w:val="28"/>
          <w:szCs w:val="30"/>
        </w:rPr>
        <w:t>Judgement</w:t>
      </w:r>
      <w:r>
        <w:rPr>
          <w:rFonts w:hint="eastAsia" w:ascii="仿宋_GB2312" w:hAnsi="Arial Narrow" w:eastAsia="仿宋_GB2312" w:cs="Arial"/>
          <w:sz w:val="28"/>
          <w:szCs w:val="30"/>
        </w:rPr>
        <w:t>）打分方式：3名（N）及以上裁判为一组，各自单独评分，计算出平均权重分，除以3（N）后再乘以该子项的分值计算出实际得分。裁判相互间分差必须小于等于1分，否则需要给出确切理由并在小组长或裁判长的监督下进行调分。</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权重表如下：</w:t>
      </w:r>
    </w:p>
    <w:tbl>
      <w:tblPr>
        <w:tblStyle w:val="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7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6" w:type="pct"/>
            <w:tcBorders>
              <w:top w:val="single" w:color="auto" w:sz="12" w:space="0"/>
              <w:left w:val="single" w:color="auto" w:sz="4" w:space="0"/>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权重分值</w:t>
            </w:r>
          </w:p>
        </w:tc>
        <w:tc>
          <w:tcPr>
            <w:tcW w:w="4114" w:type="pct"/>
            <w:tcBorders>
              <w:top w:val="single" w:color="auto" w:sz="12"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6" w:type="pct"/>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0</w:t>
            </w:r>
            <w:r>
              <w:rPr>
                <w:rFonts w:hint="eastAsia" w:ascii="仿宋" w:hAnsi="仿宋" w:eastAsia="仿宋"/>
                <w:sz w:val="24"/>
                <w:szCs w:val="24"/>
              </w:rPr>
              <w:t>分</w:t>
            </w:r>
          </w:p>
        </w:tc>
        <w:tc>
          <w:tcPr>
            <w:tcW w:w="4114" w:type="pct"/>
            <w:tcBorders>
              <w:top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各方面</w:t>
            </w:r>
            <w:r>
              <w:rPr>
                <w:rFonts w:ascii="仿宋" w:hAnsi="仿宋" w:eastAsia="仿宋"/>
                <w:sz w:val="24"/>
                <w:szCs w:val="24"/>
              </w:rPr>
              <w:t>均低于行业标准，</w:t>
            </w:r>
            <w:r>
              <w:rPr>
                <w:rFonts w:hint="eastAsia" w:ascii="仿宋" w:hAnsi="仿宋" w:eastAsia="仿宋"/>
                <w:sz w:val="24"/>
                <w:szCs w:val="24"/>
              </w:rPr>
              <w:t>包括</w:t>
            </w:r>
            <w:r>
              <w:rPr>
                <w:rFonts w:ascii="仿宋" w:hAnsi="仿宋" w:eastAsia="仿宋"/>
                <w:sz w:val="24"/>
                <w:szCs w:val="24"/>
              </w:rPr>
              <w:t>“</w:t>
            </w:r>
            <w:r>
              <w:rPr>
                <w:rFonts w:hint="eastAsia" w:ascii="仿宋" w:hAnsi="仿宋" w:eastAsia="仿宋"/>
                <w:sz w:val="24"/>
                <w:szCs w:val="24"/>
              </w:rPr>
              <w:t>未做尝试</w:t>
            </w:r>
            <w:r>
              <w:rPr>
                <w:rFonts w:ascii="仿宋" w:hAnsi="仿宋" w:eastAsia="仿宋"/>
                <w:sz w:val="24"/>
                <w:szCs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6" w:type="pct"/>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分</w:t>
            </w:r>
          </w:p>
        </w:tc>
        <w:tc>
          <w:tcPr>
            <w:tcW w:w="4114" w:type="pct"/>
            <w:tcBorders>
              <w:top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达到行业</w:t>
            </w:r>
            <w:r>
              <w:rPr>
                <w:rFonts w:ascii="仿宋" w:hAnsi="仿宋" w:eastAsia="仿宋"/>
                <w:sz w:val="24"/>
                <w:szCs w:val="24"/>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6" w:type="pct"/>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分</w:t>
            </w:r>
          </w:p>
        </w:tc>
        <w:tc>
          <w:tcPr>
            <w:tcW w:w="4114" w:type="pct"/>
            <w:tcBorders>
              <w:top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达到行业</w:t>
            </w:r>
            <w:r>
              <w:rPr>
                <w:rFonts w:ascii="仿宋" w:hAnsi="仿宋" w:eastAsia="仿宋"/>
                <w:sz w:val="24"/>
                <w:szCs w:val="24"/>
              </w:rPr>
              <w:t>标准，且某些方面超过标准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6" w:type="pct"/>
            <w:tcBorders>
              <w:top w:val="single" w:color="auto" w:sz="4" w:space="0"/>
              <w:left w:val="single" w:color="auto" w:sz="4" w:space="0"/>
              <w:bottom w:val="single" w:color="auto" w:sz="12" w:space="0"/>
            </w:tcBorders>
            <w:vAlign w:val="center"/>
          </w:tcPr>
          <w:p>
            <w:pPr>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分</w:t>
            </w:r>
          </w:p>
        </w:tc>
        <w:tc>
          <w:tcPr>
            <w:tcW w:w="4114" w:type="pct"/>
            <w:tcBorders>
              <w:top w:val="single" w:color="auto" w:sz="4" w:space="0"/>
              <w:bottom w:val="single" w:color="auto" w:sz="12"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达到行业</w:t>
            </w:r>
            <w:r>
              <w:rPr>
                <w:rFonts w:ascii="仿宋" w:hAnsi="仿宋" w:eastAsia="仿宋"/>
                <w:sz w:val="24"/>
                <w:szCs w:val="24"/>
              </w:rPr>
              <w:t>期待的优秀水平</w:t>
            </w:r>
          </w:p>
        </w:tc>
      </w:tr>
    </w:tbl>
    <w:p/>
    <w:p>
      <w:pPr>
        <w:ind w:firstLine="480"/>
        <w:rPr>
          <w:rFonts w:ascii="仿宋" w:hAnsi="仿宋" w:eastAsia="仿宋"/>
          <w:sz w:val="28"/>
          <w:szCs w:val="28"/>
        </w:rPr>
      </w:pPr>
      <w:r>
        <w:rPr>
          <w:rFonts w:hint="eastAsia" w:ascii="仿宋" w:hAnsi="仿宋" w:eastAsia="仿宋"/>
          <w:sz w:val="28"/>
          <w:szCs w:val="28"/>
        </w:rPr>
        <w:t>（样例</w:t>
      </w:r>
      <w:r>
        <w:rPr>
          <w:rFonts w:ascii="仿宋" w:hAnsi="仿宋" w:eastAsia="仿宋"/>
          <w:sz w:val="28"/>
          <w:szCs w:val="28"/>
        </w:rPr>
        <w:t>：</w:t>
      </w:r>
      <w:r>
        <w:rPr>
          <w:rFonts w:hint="eastAsia" w:ascii="仿宋" w:hAnsi="仿宋" w:eastAsia="仿宋"/>
          <w:sz w:val="28"/>
          <w:szCs w:val="28"/>
        </w:rPr>
        <w:t>X区连线整齐评价标准参考</w:t>
      </w:r>
      <w:r>
        <w:rPr>
          <w:rFonts w:hint="eastAsia" w:ascii="仿宋" w:hAnsi="仿宋" w:eastAsia="仿宋" w:cs="宋体"/>
          <w:color w:val="000000"/>
          <w:kern w:val="0"/>
          <w:sz w:val="28"/>
          <w:szCs w:val="28"/>
        </w:rPr>
        <w:t>）</w:t>
      </w:r>
    </w:p>
    <w:tbl>
      <w:tblPr>
        <w:tblStyle w:val="9"/>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12" w:space="0"/>
              <w:left w:val="single" w:color="auto" w:sz="4" w:space="0"/>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权重分值</w:t>
            </w:r>
          </w:p>
        </w:tc>
        <w:tc>
          <w:tcPr>
            <w:tcW w:w="7012" w:type="dxa"/>
            <w:tcBorders>
              <w:top w:val="single" w:color="auto" w:sz="12"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0</w:t>
            </w:r>
            <w:r>
              <w:rPr>
                <w:rFonts w:hint="eastAsia" w:ascii="仿宋" w:hAnsi="仿宋" w:eastAsia="仿宋"/>
                <w:sz w:val="24"/>
                <w:szCs w:val="24"/>
              </w:rPr>
              <w:t>分</w:t>
            </w:r>
          </w:p>
        </w:tc>
        <w:tc>
          <w:tcPr>
            <w:tcW w:w="7012" w:type="dxa"/>
            <w:tcBorders>
              <w:top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cs="宋体"/>
                <w:color w:val="000000"/>
                <w:kern w:val="0"/>
                <w:sz w:val="24"/>
                <w:szCs w:val="24"/>
              </w:rPr>
              <w:t>不接受（接线杂乱，未完成接线数量超过1根及以上）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分</w:t>
            </w:r>
          </w:p>
        </w:tc>
        <w:tc>
          <w:tcPr>
            <w:tcW w:w="7012" w:type="dxa"/>
            <w:tcBorders>
              <w:top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cs="宋体"/>
                <w:color w:val="000000"/>
                <w:kern w:val="0"/>
                <w:sz w:val="24"/>
                <w:szCs w:val="24"/>
              </w:rPr>
              <w:t>符合行业标准（能够在线槽中规范连线）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分</w:t>
            </w:r>
          </w:p>
        </w:tc>
        <w:tc>
          <w:tcPr>
            <w:tcW w:w="7012" w:type="dxa"/>
            <w:tcBorders>
              <w:top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cs="宋体"/>
                <w:color w:val="000000"/>
                <w:kern w:val="0"/>
                <w:sz w:val="24"/>
                <w:szCs w:val="24"/>
              </w:rPr>
              <w:t>符合行业标准并略高与行业标准（设备接线合理，在线槽中规范连线。）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12" w:space="0"/>
            </w:tcBorders>
            <w:vAlign w:val="center"/>
          </w:tcPr>
          <w:p>
            <w:pPr>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分</w:t>
            </w:r>
          </w:p>
        </w:tc>
        <w:tc>
          <w:tcPr>
            <w:tcW w:w="7012" w:type="dxa"/>
            <w:tcBorders>
              <w:top w:val="single" w:color="auto" w:sz="4" w:space="0"/>
              <w:bottom w:val="single" w:color="auto" w:sz="12" w:space="0"/>
              <w:right w:val="single" w:color="auto" w:sz="4" w:space="0"/>
            </w:tcBorders>
            <w:vAlign w:val="center"/>
          </w:tcPr>
          <w:p>
            <w:pPr>
              <w:jc w:val="left"/>
              <w:rPr>
                <w:rFonts w:ascii="仿宋" w:hAnsi="仿宋" w:eastAsia="仿宋"/>
                <w:sz w:val="24"/>
                <w:szCs w:val="24"/>
              </w:rPr>
            </w:pPr>
            <w:r>
              <w:rPr>
                <w:rFonts w:hint="eastAsia" w:ascii="仿宋" w:hAnsi="仿宋" w:eastAsia="仿宋" w:cs="宋体"/>
                <w:color w:val="000000"/>
                <w:kern w:val="0"/>
                <w:sz w:val="24"/>
                <w:szCs w:val="24"/>
              </w:rPr>
              <w:t>完美（设备接口之间接线规范、美观，方便维护）。</w:t>
            </w:r>
          </w:p>
        </w:tc>
      </w:tr>
    </w:tbl>
    <w:p>
      <w:pPr>
        <w:ind w:firstLine="480"/>
      </w:pPr>
    </w:p>
    <w:p>
      <w:pPr>
        <w:ind w:firstLine="560" w:firstLineChars="200"/>
        <w:rPr>
          <w:rFonts w:ascii="仿宋_GB2312" w:hAnsi="Arial Narrow" w:eastAsia="仿宋_GB2312" w:cs="Arial"/>
          <w:sz w:val="28"/>
          <w:szCs w:val="30"/>
        </w:rPr>
      </w:pPr>
      <w:r>
        <w:rPr>
          <w:rFonts w:ascii="仿宋_GB2312" w:hAnsi="Arial Narrow" w:eastAsia="仿宋_GB2312" w:cs="Arial"/>
          <w:sz w:val="28"/>
          <w:szCs w:val="30"/>
        </w:rPr>
        <w:t>2</w:t>
      </w:r>
      <w:r>
        <w:rPr>
          <w:rFonts w:hint="eastAsia" w:ascii="仿宋_GB2312" w:hAnsi="Arial Narrow" w:eastAsia="仿宋_GB2312" w:cs="Arial"/>
          <w:sz w:val="28"/>
          <w:szCs w:val="30"/>
        </w:rPr>
        <w:t>、测量分（客观）</w:t>
      </w:r>
    </w:p>
    <w:p>
      <w:pPr>
        <w:ind w:firstLine="560" w:firstLineChars="200"/>
        <w:rPr>
          <w:rFonts w:ascii="仿宋_GB2312" w:hAnsi="Arial Narrow" w:eastAsia="仿宋_GB2312" w:cs="Arial"/>
          <w:sz w:val="28"/>
          <w:szCs w:val="30"/>
        </w:rPr>
      </w:pPr>
      <w:bookmarkStart w:id="2" w:name="OLE_LINK9"/>
      <w:bookmarkStart w:id="3" w:name="OLE_LINK10"/>
      <w:r>
        <w:rPr>
          <w:rFonts w:hint="eastAsia" w:ascii="仿宋_GB2312" w:hAnsi="Arial Narrow" w:eastAsia="仿宋_GB2312" w:cs="Arial"/>
          <w:sz w:val="28"/>
          <w:szCs w:val="30"/>
        </w:rPr>
        <w:t>测量分（M</w:t>
      </w:r>
      <w:r>
        <w:rPr>
          <w:rFonts w:ascii="仿宋_GB2312" w:hAnsi="Arial Narrow" w:eastAsia="仿宋_GB2312" w:cs="Arial"/>
          <w:sz w:val="28"/>
          <w:szCs w:val="30"/>
        </w:rPr>
        <w:t>easurement</w:t>
      </w:r>
      <w:r>
        <w:rPr>
          <w:rFonts w:hint="eastAsia" w:ascii="仿宋_GB2312" w:hAnsi="Arial Narrow" w:eastAsia="仿宋_GB2312" w:cs="Arial"/>
          <w:sz w:val="28"/>
          <w:szCs w:val="30"/>
        </w:rPr>
        <w:t>）打分方式：按模块设置若干个评分组，每组由</w:t>
      </w:r>
      <w:r>
        <w:rPr>
          <w:rFonts w:ascii="仿宋_GB2312" w:hAnsi="Arial Narrow" w:eastAsia="仿宋_GB2312" w:cs="Arial"/>
          <w:sz w:val="28"/>
          <w:szCs w:val="30"/>
        </w:rPr>
        <w:t>3</w:t>
      </w:r>
      <w:r>
        <w:rPr>
          <w:rFonts w:hint="eastAsia" w:ascii="仿宋_GB2312" w:hAnsi="Arial Narrow" w:eastAsia="仿宋_GB2312" w:cs="Arial"/>
          <w:sz w:val="28"/>
          <w:szCs w:val="30"/>
        </w:rPr>
        <w:t>名及以上裁判构成。每个组所有裁判一起商议，在对该选手在该项中的实际得分达成一致后最终只给出一个分值。若裁判数量较多，也可以另定分组模式。</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测量分评分准则样例表：</w:t>
      </w:r>
    </w:p>
    <w:bookmarkEnd w:id="2"/>
    <w:bookmarkEnd w:id="3"/>
    <w:tbl>
      <w:tblPr>
        <w:tblStyle w:val="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621"/>
        <w:gridCol w:w="2773"/>
        <w:gridCol w:w="1346"/>
        <w:gridCol w:w="1247"/>
        <w:gridCol w:w="132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75" w:type="pct"/>
            <w:tcBorders>
              <w:top w:val="single" w:color="000000" w:sz="12" w:space="0"/>
              <w:left w:val="single" w:color="auto" w:sz="4" w:space="0"/>
              <w:bottom w:val="single" w:color="000000" w:sz="4" w:space="0"/>
            </w:tcBorders>
            <w:vAlign w:val="center"/>
          </w:tcPr>
          <w:p>
            <w:pPr>
              <w:jc w:val="center"/>
              <w:rPr>
                <w:rFonts w:ascii="仿宋" w:hAnsi="仿宋" w:eastAsia="仿宋"/>
                <w:b/>
                <w:sz w:val="24"/>
                <w:szCs w:val="24"/>
              </w:rPr>
            </w:pPr>
            <w:r>
              <w:rPr>
                <w:rFonts w:hint="eastAsia" w:ascii="仿宋" w:hAnsi="仿宋" w:eastAsia="仿宋"/>
                <w:b/>
                <w:sz w:val="24"/>
                <w:szCs w:val="24"/>
              </w:rPr>
              <w:t>类型</w:t>
            </w:r>
          </w:p>
        </w:tc>
        <w:tc>
          <w:tcPr>
            <w:tcW w:w="1667" w:type="pct"/>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示例</w:t>
            </w:r>
          </w:p>
        </w:tc>
        <w:tc>
          <w:tcPr>
            <w:tcW w:w="809" w:type="pct"/>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最高分值</w:t>
            </w:r>
          </w:p>
        </w:tc>
        <w:tc>
          <w:tcPr>
            <w:tcW w:w="750" w:type="pct"/>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正确分值</w:t>
            </w:r>
          </w:p>
        </w:tc>
        <w:tc>
          <w:tcPr>
            <w:tcW w:w="799" w:type="pct"/>
            <w:tcBorders>
              <w:top w:val="single" w:color="000000" w:sz="12" w:space="0"/>
              <w:bottom w:val="single" w:color="000000"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不正确分值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75" w:type="pct"/>
            <w:tcBorders>
              <w:top w:val="single" w:color="000000" w:sz="4" w:space="0"/>
              <w:left w:val="single" w:color="auto" w:sz="4" w:space="0"/>
              <w:bottom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满分或零分</w:t>
            </w:r>
          </w:p>
        </w:tc>
        <w:tc>
          <w:tcPr>
            <w:tcW w:w="1667" w:type="pct"/>
            <w:vAlign w:val="center"/>
          </w:tcPr>
          <w:p>
            <w:pPr>
              <w:jc w:val="center"/>
              <w:rPr>
                <w:rFonts w:ascii="仿宋" w:hAnsi="仿宋" w:eastAsia="仿宋"/>
                <w:sz w:val="24"/>
                <w:szCs w:val="24"/>
              </w:rPr>
            </w:pPr>
          </w:p>
        </w:tc>
        <w:tc>
          <w:tcPr>
            <w:tcW w:w="809" w:type="pct"/>
            <w:vAlign w:val="center"/>
          </w:tcPr>
          <w:p>
            <w:pPr>
              <w:jc w:val="center"/>
              <w:rPr>
                <w:rFonts w:ascii="仿宋" w:hAnsi="仿宋" w:eastAsia="仿宋"/>
                <w:sz w:val="24"/>
                <w:szCs w:val="24"/>
              </w:rPr>
            </w:pPr>
          </w:p>
        </w:tc>
        <w:tc>
          <w:tcPr>
            <w:tcW w:w="750" w:type="pct"/>
            <w:vAlign w:val="center"/>
          </w:tcPr>
          <w:p>
            <w:pPr>
              <w:jc w:val="center"/>
              <w:rPr>
                <w:rFonts w:ascii="仿宋" w:hAnsi="仿宋" w:eastAsia="仿宋"/>
                <w:sz w:val="24"/>
                <w:szCs w:val="24"/>
              </w:rPr>
            </w:pPr>
          </w:p>
        </w:tc>
        <w:tc>
          <w:tcPr>
            <w:tcW w:w="799" w:type="pct"/>
            <w:tcBorders>
              <w:top w:val="single" w:color="000000" w:sz="4" w:space="0"/>
              <w:bottom w:val="single" w:color="000000" w:sz="4" w:space="0"/>
              <w:right w:val="single" w:color="auto" w:sz="4" w:space="0"/>
            </w:tcBorders>
            <w:vAlign w:val="center"/>
          </w:tcPr>
          <w:p>
            <w:pPr>
              <w:jc w:val="center"/>
              <w:rPr>
                <w:rFonts w:ascii="仿宋" w:hAnsi="仿宋" w:eastAsia="仿宋"/>
                <w:sz w:val="24"/>
                <w:szCs w:val="24"/>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75" w:type="pct"/>
            <w:tcBorders>
              <w:top w:val="single" w:color="000000" w:sz="4" w:space="0"/>
              <w:left w:val="single" w:color="auto" w:sz="4" w:space="0"/>
              <w:bottom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从零分开始加</w:t>
            </w:r>
          </w:p>
        </w:tc>
        <w:tc>
          <w:tcPr>
            <w:tcW w:w="1667" w:type="pct"/>
            <w:tcBorders>
              <w:bottom w:val="single" w:color="000000" w:sz="12" w:space="0"/>
            </w:tcBorders>
            <w:vAlign w:val="center"/>
          </w:tcPr>
          <w:p>
            <w:pPr>
              <w:jc w:val="center"/>
              <w:rPr>
                <w:rFonts w:ascii="仿宋" w:hAnsi="仿宋" w:eastAsia="仿宋"/>
                <w:sz w:val="24"/>
                <w:szCs w:val="24"/>
              </w:rPr>
            </w:pPr>
          </w:p>
        </w:tc>
        <w:tc>
          <w:tcPr>
            <w:tcW w:w="809" w:type="pct"/>
            <w:tcBorders>
              <w:bottom w:val="single" w:color="000000" w:sz="12" w:space="0"/>
            </w:tcBorders>
            <w:vAlign w:val="center"/>
          </w:tcPr>
          <w:p>
            <w:pPr>
              <w:jc w:val="center"/>
              <w:rPr>
                <w:rFonts w:ascii="仿宋" w:hAnsi="仿宋" w:eastAsia="仿宋"/>
                <w:sz w:val="24"/>
                <w:szCs w:val="24"/>
              </w:rPr>
            </w:pPr>
          </w:p>
        </w:tc>
        <w:tc>
          <w:tcPr>
            <w:tcW w:w="750" w:type="pct"/>
            <w:tcBorders>
              <w:bottom w:val="single" w:color="000000" w:sz="12" w:space="0"/>
            </w:tcBorders>
            <w:vAlign w:val="center"/>
          </w:tcPr>
          <w:p>
            <w:pPr>
              <w:jc w:val="center"/>
              <w:rPr>
                <w:rFonts w:ascii="仿宋" w:hAnsi="仿宋" w:eastAsia="仿宋"/>
                <w:sz w:val="24"/>
                <w:szCs w:val="24"/>
              </w:rPr>
            </w:pPr>
          </w:p>
        </w:tc>
        <w:tc>
          <w:tcPr>
            <w:tcW w:w="799" w:type="pct"/>
            <w:tcBorders>
              <w:top w:val="single" w:color="000000" w:sz="4" w:space="0"/>
              <w:bottom w:val="single" w:color="000000" w:sz="12" w:space="0"/>
              <w:right w:val="single" w:color="auto" w:sz="4" w:space="0"/>
            </w:tcBorders>
            <w:vAlign w:val="center"/>
          </w:tcPr>
          <w:p>
            <w:pPr>
              <w:jc w:val="center"/>
              <w:rPr>
                <w:rFonts w:ascii="仿宋" w:hAnsi="仿宋" w:eastAsia="仿宋"/>
                <w:sz w:val="24"/>
                <w:szCs w:val="24"/>
              </w:rPr>
            </w:pPr>
          </w:p>
        </w:tc>
      </w:tr>
    </w:tbl>
    <w:p>
      <w:pPr>
        <w:ind w:firstLine="480"/>
      </w:pP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（样例：测量评分准则）</w:t>
      </w:r>
    </w:p>
    <w:tbl>
      <w:tblPr>
        <w:tblStyle w:val="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621"/>
        <w:gridCol w:w="2773"/>
        <w:gridCol w:w="1346"/>
        <w:gridCol w:w="1247"/>
        <w:gridCol w:w="132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75" w:type="pct"/>
            <w:tcBorders>
              <w:top w:val="single" w:color="000000" w:sz="12" w:space="0"/>
              <w:left w:val="single" w:color="auto" w:sz="4" w:space="0"/>
              <w:bottom w:val="single" w:color="000000" w:sz="4" w:space="0"/>
            </w:tcBorders>
            <w:vAlign w:val="center"/>
          </w:tcPr>
          <w:p>
            <w:pPr>
              <w:jc w:val="center"/>
              <w:rPr>
                <w:rFonts w:ascii="仿宋" w:hAnsi="仿宋" w:eastAsia="仿宋"/>
                <w:b/>
                <w:sz w:val="24"/>
                <w:szCs w:val="24"/>
              </w:rPr>
            </w:pPr>
            <w:r>
              <w:rPr>
                <w:rFonts w:hint="eastAsia" w:ascii="仿宋" w:hAnsi="仿宋" w:eastAsia="仿宋"/>
                <w:b/>
                <w:sz w:val="24"/>
                <w:szCs w:val="24"/>
              </w:rPr>
              <w:t>类型</w:t>
            </w:r>
          </w:p>
        </w:tc>
        <w:tc>
          <w:tcPr>
            <w:tcW w:w="1667" w:type="pct"/>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示例</w:t>
            </w:r>
          </w:p>
        </w:tc>
        <w:tc>
          <w:tcPr>
            <w:tcW w:w="809" w:type="pct"/>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最高分值</w:t>
            </w:r>
          </w:p>
        </w:tc>
        <w:tc>
          <w:tcPr>
            <w:tcW w:w="750" w:type="pct"/>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正确分值</w:t>
            </w:r>
          </w:p>
        </w:tc>
        <w:tc>
          <w:tcPr>
            <w:tcW w:w="799" w:type="pct"/>
            <w:tcBorders>
              <w:top w:val="single" w:color="000000" w:sz="12" w:space="0"/>
              <w:bottom w:val="single" w:color="000000"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不正确分值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75" w:type="pct"/>
            <w:tcBorders>
              <w:top w:val="single" w:color="000000" w:sz="4" w:space="0"/>
              <w:left w:val="single" w:color="auto" w:sz="4" w:space="0"/>
              <w:bottom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满分或零分</w:t>
            </w:r>
          </w:p>
        </w:tc>
        <w:tc>
          <w:tcPr>
            <w:tcW w:w="1667" w:type="pct"/>
            <w:tcBorders>
              <w:bottom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配置温湿度传感器地址</w:t>
            </w:r>
          </w:p>
        </w:tc>
        <w:tc>
          <w:tcPr>
            <w:tcW w:w="809" w:type="pct"/>
            <w:tcBorders>
              <w:bottom w:val="single" w:color="000000" w:sz="4" w:space="0"/>
            </w:tcBorders>
            <w:vAlign w:val="center"/>
          </w:tcPr>
          <w:p>
            <w:pPr>
              <w:jc w:val="center"/>
              <w:rPr>
                <w:rFonts w:ascii="仿宋" w:hAnsi="仿宋" w:eastAsia="仿宋"/>
                <w:sz w:val="24"/>
                <w:szCs w:val="24"/>
              </w:rPr>
            </w:pPr>
            <w:r>
              <w:rPr>
                <w:rFonts w:ascii="仿宋" w:hAnsi="仿宋" w:eastAsia="仿宋"/>
                <w:sz w:val="24"/>
                <w:szCs w:val="24"/>
              </w:rPr>
              <w:t>0.50</w:t>
            </w:r>
          </w:p>
        </w:tc>
        <w:tc>
          <w:tcPr>
            <w:tcW w:w="750" w:type="pct"/>
            <w:tcBorders>
              <w:bottom w:val="single" w:color="000000" w:sz="4" w:space="0"/>
            </w:tcBorders>
            <w:vAlign w:val="center"/>
          </w:tcPr>
          <w:p>
            <w:pPr>
              <w:jc w:val="center"/>
              <w:rPr>
                <w:rFonts w:ascii="仿宋" w:hAnsi="仿宋" w:eastAsia="仿宋"/>
                <w:sz w:val="24"/>
                <w:szCs w:val="24"/>
              </w:rPr>
            </w:pPr>
            <w:r>
              <w:rPr>
                <w:rFonts w:ascii="仿宋" w:hAnsi="仿宋" w:eastAsia="仿宋"/>
                <w:sz w:val="24"/>
                <w:szCs w:val="24"/>
              </w:rPr>
              <w:t>0.50</w:t>
            </w:r>
          </w:p>
        </w:tc>
        <w:tc>
          <w:tcPr>
            <w:tcW w:w="799" w:type="pct"/>
            <w:tcBorders>
              <w:top w:val="single" w:color="000000" w:sz="4" w:space="0"/>
              <w:bottom w:val="single" w:color="000000"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75" w:type="pct"/>
            <w:tcBorders>
              <w:top w:val="single" w:color="000000" w:sz="4" w:space="0"/>
              <w:left w:val="single" w:color="auto" w:sz="4" w:space="0"/>
              <w:bottom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从零分开始加</w:t>
            </w:r>
          </w:p>
        </w:tc>
        <w:tc>
          <w:tcPr>
            <w:tcW w:w="1667" w:type="pct"/>
            <w:tcBorders>
              <w:top w:val="single" w:color="000000" w:sz="4" w:space="0"/>
              <w:bottom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通过物联网云平台控制各执行器运作。</w:t>
            </w:r>
          </w:p>
        </w:tc>
        <w:tc>
          <w:tcPr>
            <w:tcW w:w="809" w:type="pct"/>
            <w:tcBorders>
              <w:top w:val="single" w:color="000000" w:sz="4" w:space="0"/>
              <w:bottom w:val="single" w:color="000000" w:sz="12" w:space="0"/>
            </w:tcBorders>
            <w:vAlign w:val="center"/>
          </w:tcPr>
          <w:p>
            <w:pPr>
              <w:jc w:val="center"/>
              <w:rPr>
                <w:rFonts w:ascii="仿宋" w:hAnsi="仿宋" w:eastAsia="仿宋"/>
                <w:sz w:val="24"/>
                <w:szCs w:val="24"/>
              </w:rPr>
            </w:pPr>
            <w:r>
              <w:rPr>
                <w:rFonts w:ascii="仿宋" w:hAnsi="仿宋" w:eastAsia="仿宋"/>
                <w:sz w:val="24"/>
                <w:szCs w:val="24"/>
              </w:rPr>
              <w:t>1.0</w:t>
            </w:r>
          </w:p>
        </w:tc>
        <w:tc>
          <w:tcPr>
            <w:tcW w:w="750" w:type="pct"/>
            <w:tcBorders>
              <w:top w:val="single" w:color="000000" w:sz="4" w:space="0"/>
              <w:bottom w:val="single" w:color="000000" w:sz="12" w:space="0"/>
            </w:tcBorders>
            <w:vAlign w:val="center"/>
          </w:tcPr>
          <w:p>
            <w:pPr>
              <w:jc w:val="center"/>
              <w:rPr>
                <w:rFonts w:ascii="仿宋" w:hAnsi="仿宋" w:eastAsia="仿宋"/>
                <w:sz w:val="24"/>
                <w:szCs w:val="24"/>
              </w:rPr>
            </w:pPr>
            <w:r>
              <w:rPr>
                <w:rFonts w:ascii="仿宋" w:hAnsi="仿宋" w:eastAsia="仿宋"/>
                <w:sz w:val="24"/>
                <w:szCs w:val="24"/>
              </w:rPr>
              <w:t>1.0</w:t>
            </w:r>
          </w:p>
        </w:tc>
        <w:tc>
          <w:tcPr>
            <w:tcW w:w="799" w:type="pct"/>
            <w:tcBorders>
              <w:top w:val="single" w:color="000000" w:sz="4" w:space="0"/>
              <w:bottom w:val="single" w:color="000000" w:sz="12"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0 – 0.5</w:t>
            </w:r>
          </w:p>
        </w:tc>
      </w:tr>
    </w:tbl>
    <w:p>
      <w:pPr>
        <w:ind w:firstLine="480"/>
      </w:pP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（二）评判方式</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裁判组在竞赛规定的结束时间后，分组对参赛队伍进行考评，每组裁判</w:t>
      </w:r>
      <w:r>
        <w:rPr>
          <w:rFonts w:ascii="仿宋_GB2312" w:hAnsi="Arial Narrow" w:eastAsia="仿宋_GB2312" w:cs="Arial"/>
          <w:sz w:val="28"/>
          <w:szCs w:val="30"/>
        </w:rPr>
        <w:t>3</w:t>
      </w:r>
      <w:r>
        <w:rPr>
          <w:rFonts w:hint="eastAsia" w:ascii="仿宋_GB2312" w:hAnsi="Arial Narrow" w:eastAsia="仿宋_GB2312" w:cs="Arial"/>
          <w:sz w:val="28"/>
          <w:szCs w:val="30"/>
        </w:rPr>
        <w:t>名及以上。裁判员每人有一份评分表，裁判员按照评分表中要求安装设备和提交结果按照评分表中标准进行打分评判。</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（三）评分方法</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1、组织与分工</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（1）参与大赛赛项成绩管理的组织机构包括裁判组、监督仲裁组，受赛项执委会领导。</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hint="eastAsia" w:ascii="仿宋_GB2312" w:eastAsia="仿宋_GB2312"/>
          <w:sz w:val="28"/>
        </w:rPr>
        <w:t>裁判组实行“裁判长负责制”，设裁判长1名，全面负责赛项的裁判管理工作并处理比赛中出现的争议问题，并配裁判员若干名，负责协助裁判长工作</w:t>
      </w:r>
      <w:r>
        <w:rPr>
          <w:rFonts w:hint="eastAsia" w:ascii="仿宋_GB2312" w:hAnsi="Arial Narrow" w:eastAsia="仿宋_GB2312" w:cs="Arial"/>
          <w:sz w:val="28"/>
          <w:szCs w:val="30"/>
        </w:rPr>
        <w:t>。</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w:t>
      </w:r>
      <w:r>
        <w:rPr>
          <w:rFonts w:hint="eastAsia" w:ascii="仿宋_GB2312" w:eastAsia="仿宋_GB2312"/>
          <w:sz w:val="28"/>
        </w:rPr>
        <w:t>裁判员根据比赛需要分为检录裁判、加密裁判、现场裁判和评分裁判。</w:t>
      </w:r>
      <w:r>
        <w:rPr>
          <w:rFonts w:hint="eastAsia" w:ascii="仿宋_GB2312" w:hAnsi="Arial Narrow" w:eastAsia="仿宋_GB2312" w:cs="Arial"/>
          <w:sz w:val="28"/>
          <w:szCs w:val="30"/>
        </w:rPr>
        <w:t>检录工作人员负责对参赛队伍（选手）进行点名登记、身份核对等工作；加密裁判负责组织参赛队伍（选手）抽签，对参赛队信息、抽签代码等进行加密、解密工作；现场裁判按规定做好赛场记录，维护赛场纪律；评分裁判负责对参赛队伍（选手）的比赛作品、比赛表现按赛项评分标准进行评定。</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（4）</w:t>
      </w:r>
      <w:r>
        <w:rPr>
          <w:rFonts w:ascii="仿宋_GB2312" w:hAnsi="Arial Narrow" w:eastAsia="仿宋_GB2312" w:cs="Arial"/>
          <w:sz w:val="28"/>
        </w:rPr>
        <w:t>监督仲裁</w:t>
      </w:r>
      <w:r>
        <w:rPr>
          <w:rFonts w:hint="eastAsia" w:ascii="仿宋_GB2312" w:hAnsi="Arial Narrow" w:eastAsia="仿宋_GB2312" w:cs="Arial"/>
          <w:sz w:val="28"/>
          <w:szCs w:val="30"/>
        </w:rPr>
        <w:t>组对裁判组的工作进行全程监督，并对竞赛成绩抽检复核。</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（5）</w:t>
      </w:r>
      <w:r>
        <w:rPr>
          <w:rFonts w:ascii="仿宋_GB2312" w:hAnsi="Arial Narrow" w:eastAsia="仿宋_GB2312" w:cs="Arial"/>
          <w:sz w:val="28"/>
        </w:rPr>
        <w:t>监督仲裁</w:t>
      </w:r>
      <w:r>
        <w:rPr>
          <w:rFonts w:hint="eastAsia" w:ascii="仿宋_GB2312" w:hAnsi="Arial Narrow" w:eastAsia="仿宋_GB2312" w:cs="Arial"/>
          <w:sz w:val="28"/>
          <w:szCs w:val="30"/>
        </w:rPr>
        <w:t>组负责接受由参赛队领队提出的对竞赛</w:t>
      </w:r>
      <w:r>
        <w:rPr>
          <w:rFonts w:ascii="仿宋_GB2312" w:hAnsi="Arial Narrow" w:eastAsia="仿宋_GB2312" w:cs="Arial"/>
          <w:sz w:val="28"/>
          <w:szCs w:val="30"/>
        </w:rPr>
        <w:t>过程</w:t>
      </w:r>
      <w:r>
        <w:rPr>
          <w:rFonts w:hint="eastAsia" w:ascii="仿宋_GB2312" w:hAnsi="Arial Narrow" w:eastAsia="仿宋_GB2312" w:cs="Arial"/>
          <w:sz w:val="28"/>
          <w:szCs w:val="30"/>
        </w:rPr>
        <w:t>的申诉，组织复议并及时反馈复议结果。</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2、成绩评定方法</w:t>
      </w:r>
    </w:p>
    <w:p>
      <w:pPr>
        <w:spacing w:line="360" w:lineRule="auto"/>
        <w:ind w:firstLine="560" w:firstLineChars="200"/>
        <w:rPr>
          <w:rFonts w:ascii="仿宋_GB2312" w:eastAsia="仿宋_GB2312"/>
          <w:sz w:val="28"/>
        </w:rPr>
      </w:pPr>
      <w:r>
        <w:rPr>
          <w:rFonts w:hint="eastAsia" w:ascii="仿宋_GB2312" w:eastAsia="仿宋_GB2312"/>
          <w:sz w:val="28"/>
        </w:rPr>
        <w:t>成绩评定是根据竞赛考核目标、内容对参赛队或选手在竞赛过程中的表现和最终成果做出评价，本赛项的评分方法分结果评分。结果评分是对参赛选手提交的竞赛成果和作答卷，依据赛项评价标准进行评价评分。所有的评分表、成绩汇总表备案以供核查，最终的成绩由裁判长进行审核确认并上报大赛组委会。</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3、成绩解</w:t>
      </w:r>
      <w:r>
        <w:rPr>
          <w:rFonts w:ascii="仿宋_GB2312" w:hAnsi="Arial Narrow" w:eastAsia="仿宋_GB2312" w:cs="Arial"/>
          <w:sz w:val="28"/>
          <w:szCs w:val="30"/>
        </w:rPr>
        <w:t>密</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裁判长正式提交赛位（竞赛作品）评分结果并复核无误后，加密裁判在</w:t>
      </w:r>
      <w:r>
        <w:rPr>
          <w:rFonts w:ascii="仿宋_GB2312" w:hAnsi="Arial Narrow" w:eastAsia="仿宋_GB2312" w:cs="Arial"/>
          <w:sz w:val="28"/>
        </w:rPr>
        <w:t>监督仲裁</w:t>
      </w:r>
      <w:r>
        <w:rPr>
          <w:rFonts w:hint="eastAsia" w:ascii="仿宋_GB2312" w:hAnsi="Arial Narrow" w:eastAsia="仿宋_GB2312" w:cs="Arial"/>
          <w:sz w:val="28"/>
          <w:szCs w:val="30"/>
        </w:rPr>
        <w:t>组人员监督下对加密结果进行逐层解密。</w:t>
      </w:r>
    </w:p>
    <w:p>
      <w:pPr>
        <w:numPr>
          <w:ilvl w:val="0"/>
          <w:numId w:val="3"/>
        </w:numPr>
        <w:snapToGrid w:val="0"/>
        <w:spacing w:line="560" w:lineRule="exact"/>
        <w:ind w:firstLine="560" w:firstLineChars="200"/>
        <w:rPr>
          <w:rFonts w:hint="eastAsia" w:ascii="仿宋_GB2312" w:hAnsi="Arial Narrow" w:eastAsia="仿宋_GB2312" w:cs="Arial"/>
          <w:sz w:val="28"/>
          <w:szCs w:val="30"/>
        </w:rPr>
      </w:pPr>
      <w:r>
        <w:rPr>
          <w:rFonts w:hint="eastAsia" w:ascii="仿宋_GB2312" w:hAnsi="Arial Narrow" w:eastAsia="仿宋_GB2312" w:cs="Arial"/>
          <w:sz w:val="28"/>
          <w:szCs w:val="30"/>
        </w:rPr>
        <w:t>成绩公布</w:t>
      </w:r>
    </w:p>
    <w:p>
      <w:pPr>
        <w:ind w:firstLine="560" w:firstLineChars="200"/>
        <w:rPr>
          <w:rFonts w:hint="eastAsia" w:ascii="仿宋_GB2312" w:hAnsi="Arial Narrow" w:eastAsia="仿宋_GB2312" w:cs="Arial"/>
          <w:sz w:val="28"/>
          <w:szCs w:val="30"/>
        </w:rPr>
      </w:pPr>
      <w:r>
        <w:rPr>
          <w:rFonts w:hint="eastAsia" w:ascii="仿宋_GB2312" w:eastAsia="仿宋_GB2312"/>
          <w:sz w:val="28"/>
        </w:rPr>
        <w:t>赛项成绩在赛项结束后由赛项组委会负责公布最终成绩。任何组织和个人，不得擅自对大赛成绩进行涂改、伪造或用于欺诈等违法犯罪活动、如需使用大赛成绩，应报赛项执委会审批。</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十二、奖项设定</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 xml:space="preserve">本赛项的奖项设团队奖。 </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 xml:space="preserve">设奖比例为：以赛项实际参赛队总数为基数，一、二、三等奖获奖比例分别为 10%、20%、30%（小数点后四舍五入）。 </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如出现参赛队总分相同情况，按照 A、B、C模块顺序的得分高低排序，即总成绩相同的情况下比较 A 模块的成绩，A 模块成绩高的排名优先，如果 A 模块成绩也相同，则按 B 模块的成绩进行排名，以此类推完成相同成绩的排序。如果 A、B、C各模块分值均相同，则查看文档撰写规范、职业素养的分值进行排序。</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十三、赛场预案</w:t>
      </w:r>
    </w:p>
    <w:p>
      <w:pPr>
        <w:widowControl/>
        <w:spacing w:line="560" w:lineRule="exact"/>
        <w:ind w:firstLine="560" w:firstLineChars="200"/>
        <w:jc w:val="left"/>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按照《全国职业院校技能大赛制度汇编》中相关制度执行。</w:t>
      </w:r>
    </w:p>
    <w:p>
      <w:pPr>
        <w:spacing w:line="560" w:lineRule="exact"/>
        <w:ind w:firstLine="560" w:firstLineChars="200"/>
        <w:rPr>
          <w:rFonts w:ascii="仿宋_GB2312" w:hAnsi="Cambria" w:eastAsia="仿宋_GB2312"/>
          <w:bCs/>
          <w:color w:val="000000"/>
          <w:kern w:val="28"/>
          <w:sz w:val="28"/>
          <w:szCs w:val="28"/>
        </w:rPr>
      </w:pPr>
      <w:r>
        <w:rPr>
          <w:rFonts w:hint="eastAsia" w:ascii="仿宋_GB2312" w:hAnsi="仿宋_GB2312" w:eastAsia="仿宋_GB2312"/>
          <w:color w:val="000000"/>
          <w:sz w:val="28"/>
          <w:szCs w:val="32"/>
        </w:rPr>
        <w:t>1</w:t>
      </w:r>
      <w:r>
        <w:rPr>
          <w:rFonts w:hint="eastAsia" w:ascii="仿宋_GB2312" w:hAnsi="Cambria" w:eastAsia="仿宋_GB2312"/>
          <w:bCs/>
          <w:color w:val="000000"/>
          <w:kern w:val="28"/>
          <w:sz w:val="28"/>
          <w:szCs w:val="28"/>
        </w:rPr>
        <w:t>.竞赛软硬件环境和电脑在比赛前进行压力测试，验证功能正常。竞赛现场准备有</w:t>
      </w:r>
      <w:r>
        <w:rPr>
          <w:rFonts w:ascii="仿宋_GB2312" w:hAnsi="Cambria" w:eastAsia="仿宋_GB2312"/>
          <w:bCs/>
          <w:color w:val="000000"/>
          <w:kern w:val="28"/>
          <w:sz w:val="28"/>
          <w:szCs w:val="28"/>
        </w:rPr>
        <w:t>1</w:t>
      </w:r>
      <w:r>
        <w:rPr>
          <w:rFonts w:hint="eastAsia" w:ascii="仿宋_GB2312" w:hAnsi="Cambria" w:eastAsia="仿宋_GB2312"/>
          <w:bCs/>
          <w:color w:val="000000"/>
          <w:kern w:val="28"/>
          <w:sz w:val="28"/>
          <w:szCs w:val="28"/>
        </w:rPr>
        <w:t>-</w:t>
      </w:r>
      <w:r>
        <w:rPr>
          <w:rFonts w:ascii="仿宋_GB2312" w:hAnsi="Cambria" w:eastAsia="仿宋_GB2312"/>
          <w:bCs/>
          <w:color w:val="000000"/>
          <w:kern w:val="28"/>
          <w:sz w:val="28"/>
          <w:szCs w:val="28"/>
        </w:rPr>
        <w:t>2</w:t>
      </w:r>
      <w:r>
        <w:rPr>
          <w:rFonts w:hint="eastAsia" w:ascii="仿宋_GB2312" w:hAnsi="Cambria" w:eastAsia="仿宋_GB2312"/>
          <w:bCs/>
          <w:color w:val="000000"/>
          <w:kern w:val="28"/>
          <w:sz w:val="28"/>
          <w:szCs w:val="28"/>
        </w:rPr>
        <w:t>套完整的竞赛环境，保证在出现非选手原因的损坏时，经现场裁判认定，裁判长确认后，由赛场技术支持人员予以及时更换。</w:t>
      </w:r>
    </w:p>
    <w:p>
      <w:pPr>
        <w:spacing w:line="560" w:lineRule="exact"/>
        <w:ind w:firstLine="560" w:firstLineChars="200"/>
        <w:rPr>
          <w:rFonts w:ascii="仿宋_GB2312" w:hAnsi="Cambria" w:eastAsia="仿宋_GB2312"/>
          <w:bCs/>
          <w:color w:val="000000"/>
          <w:kern w:val="28"/>
          <w:sz w:val="28"/>
          <w:szCs w:val="28"/>
        </w:rPr>
      </w:pPr>
      <w:r>
        <w:rPr>
          <w:rFonts w:ascii="仿宋_GB2312" w:hAnsi="Cambria" w:eastAsia="仿宋_GB2312"/>
          <w:bCs/>
          <w:color w:val="000000"/>
          <w:kern w:val="28"/>
          <w:sz w:val="28"/>
          <w:szCs w:val="28"/>
        </w:rPr>
        <w:t>2</w:t>
      </w:r>
      <w:r>
        <w:rPr>
          <w:rFonts w:hint="eastAsia" w:ascii="仿宋_GB2312" w:hAnsi="Cambria" w:eastAsia="仿宋_GB2312"/>
          <w:bCs/>
          <w:color w:val="000000"/>
          <w:kern w:val="28"/>
          <w:sz w:val="28"/>
          <w:szCs w:val="28"/>
        </w:rPr>
        <w:t>.竞赛过程中出现设备掉电、故障等意外时，现场裁判需及时确认情况，安排赛场技术支持人员进行处理，现场裁判登记详细情况，填写补时登记表，报裁判长批准后，可安排延长补足相应选手的比赛时间。</w:t>
      </w:r>
    </w:p>
    <w:p>
      <w:pPr>
        <w:spacing w:line="56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比赛过程中，选手如怀疑设备问题，且有明确证据确认损坏由非选手因素造成，可向裁判提交书面说明，经技术人员判断和裁判长裁决认可，可更换设备，并由裁判长裁决是否补时和补时长度，没有明确证据确认损坏由非选手因素造成设备损坏的，不予更换设备和补时。</w:t>
      </w:r>
    </w:p>
    <w:p>
      <w:pPr>
        <w:spacing w:line="560" w:lineRule="exact"/>
        <w:ind w:firstLine="560" w:firstLineChars="200"/>
        <w:rPr>
          <w:rFonts w:ascii="仿宋_GB2312" w:hAnsi="Cambria" w:eastAsia="仿宋_GB2312"/>
          <w:bCs/>
          <w:color w:val="000000"/>
          <w:kern w:val="28"/>
          <w:sz w:val="28"/>
          <w:szCs w:val="28"/>
        </w:rPr>
      </w:pPr>
      <w:r>
        <w:rPr>
          <w:rFonts w:ascii="仿宋_GB2312" w:hAnsi="Cambria" w:eastAsia="仿宋_GB2312"/>
          <w:bCs/>
          <w:color w:val="000000"/>
          <w:kern w:val="28"/>
          <w:sz w:val="28"/>
          <w:szCs w:val="28"/>
        </w:rPr>
        <w:t>4</w:t>
      </w:r>
      <w:r>
        <w:rPr>
          <w:rFonts w:hint="eastAsia" w:ascii="仿宋_GB2312" w:hAnsi="Cambria" w:eastAsia="仿宋_GB2312"/>
          <w:bCs/>
          <w:color w:val="000000"/>
          <w:kern w:val="28"/>
          <w:sz w:val="28"/>
          <w:szCs w:val="28"/>
        </w:rPr>
        <w:t>.本赛项竞赛过程中各个竞赛工位为独立供电且各个参赛队均采用独立网络进行竞赛，如在竞赛时某赛位参赛队出现意外境况不会影响其它赛位正常比赛，不会由此对成绩产生影响。</w:t>
      </w:r>
    </w:p>
    <w:p>
      <w:pPr>
        <w:ind w:firstLine="560" w:firstLineChars="200"/>
        <w:rPr>
          <w:rFonts w:ascii="仿宋_GB2312" w:hAnsi="Cambria" w:eastAsia="仿宋_GB2312"/>
          <w:bCs/>
          <w:color w:val="000000"/>
          <w:kern w:val="28"/>
          <w:sz w:val="28"/>
          <w:szCs w:val="28"/>
        </w:rPr>
      </w:pPr>
      <w:r>
        <w:rPr>
          <w:rFonts w:ascii="仿宋_GB2312" w:hAnsi="Cambria" w:eastAsia="仿宋_GB2312"/>
          <w:bCs/>
          <w:color w:val="000000"/>
          <w:kern w:val="28"/>
          <w:sz w:val="28"/>
          <w:szCs w:val="28"/>
        </w:rPr>
        <w:t>5</w:t>
      </w:r>
      <w:r>
        <w:rPr>
          <w:rFonts w:hint="eastAsia" w:ascii="仿宋_GB2312" w:hAnsi="Cambria" w:eastAsia="仿宋_GB2312"/>
          <w:bCs/>
          <w:color w:val="000000"/>
          <w:kern w:val="28"/>
          <w:sz w:val="28"/>
          <w:szCs w:val="28"/>
        </w:rPr>
        <w:t>.比赛期间发生大规模意外事故和安全问题，发现者应第一时间报告赛项执委会，赛项执委会应采取中止比赛、快速疏散人群等措施避免事态扩大，并第一时间报告赛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执委会。赛项出现重大安全问题可以停赛，是否停赛由赛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执委会决定。事后，赛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执委会应向上级领导部门报告详细情况。</w:t>
      </w:r>
    </w:p>
    <w:p>
      <w:pPr>
        <w:ind w:firstLine="560" w:firstLineChars="200"/>
        <w:rPr>
          <w:rFonts w:ascii="仿宋_GB2312" w:eastAsia="仿宋_GB2312"/>
          <w:color w:val="000000"/>
          <w:sz w:val="28"/>
          <w:szCs w:val="28"/>
        </w:rPr>
      </w:pPr>
      <w:r>
        <w:rPr>
          <w:rFonts w:ascii="仿宋_GB2312" w:eastAsia="仿宋_GB2312"/>
          <w:color w:val="000000"/>
          <w:sz w:val="28"/>
          <w:szCs w:val="28"/>
        </w:rPr>
        <w:t>6.比赛期间如发生特殊情况，参赛选手需保持镇静，服从现场工作人员指挥，有序撤离。</w:t>
      </w:r>
    </w:p>
    <w:p>
      <w:pPr>
        <w:ind w:firstLine="560" w:firstLineChars="200"/>
        <w:rPr>
          <w:rFonts w:ascii="仿宋_GB2312" w:eastAsia="仿宋_GB2312"/>
          <w:color w:val="000000"/>
          <w:sz w:val="28"/>
          <w:szCs w:val="28"/>
        </w:rPr>
      </w:pPr>
      <w:r>
        <w:rPr>
          <w:rFonts w:ascii="仿宋_GB2312" w:eastAsia="仿宋_GB2312"/>
          <w:color w:val="000000"/>
          <w:sz w:val="28"/>
          <w:szCs w:val="28"/>
        </w:rPr>
        <w:t>7.安保人员发现不安全隐患及时通报。</w:t>
      </w:r>
    </w:p>
    <w:p>
      <w:pPr>
        <w:ind w:firstLine="560" w:firstLineChars="200"/>
      </w:pPr>
      <w:r>
        <w:rPr>
          <w:rFonts w:ascii="仿宋_GB2312" w:eastAsia="仿宋_GB2312"/>
          <w:color w:val="000000"/>
          <w:sz w:val="28"/>
          <w:szCs w:val="28"/>
        </w:rPr>
        <w:t>8.竞赛现场配备医疗服务站，备有必须药品。</w:t>
      </w:r>
      <w:r>
        <w:t xml:space="preserve"> </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十四、赛项安全</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（一）比赛环境</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1.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须按照赛项执委会要求排除安全隐患。</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2.赛场周围要设立警戒线，要求所有参赛人员必须凭赛项执委会印发的有效证件进入场地，防止无关人员进入发生意外事件。比赛现场内应参照相关职业岗位的要求为选手提供必要的劳动保护。在具有危险性的操作环节，裁判员要严防选手出现错误操作。</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3.承办院校应提供保证应急预案实施的条件。对于比赛内容涉及高空作业、可能有坠物、大用电量、易发生火灾等情况的赛项，必须明确制度和预案，并配备急救人员与设施。</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4.严格控制与参赛无关的易燃易爆以及各类危险品进入比赛场地，不许随便携带书包进入赛场。</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5.配备先进的仪器，防止有人利用电磁波干扰比赛秩序。大赛现场需对赛场进行网络安全控制，以免场内外信息交互，充分体现大赛的严肃、公平和公正性。</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6.赛项执委会须会同承办院校制定开放赛场和体验区的人员疏导方案。赛场环境中存在人员密集、车流人流交错的区域，除了设置齐全的指示标志外，须增加引导人员，并开辟备用通道。</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7.大赛期间，承办院校须在赛场管理的关键岗位，增加力量，建立安全管理日志。</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（二）生活条件</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1.比赛期间，原则上由赛项承办院校统一安排参赛选手和指导教师食宿。承办院校须尊重少数民族的信仰及文化，根据国家相关的民族政策，安排好少数民族选手和教师的饮食起居。</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2.比赛期间安排的住宿地应具有宾馆/住宿经营许可资质。以学校宿舍作为住宿地的，大赛期间的住宿、卫生、饮食安全等由执委会和提供宿舍的学校共同负责。</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3.大赛期间有组织的参观和观摩活动的交通安全由赛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组委会负责。赛项执委会和承办院校须保证比赛期间选手、指导教师和裁判员、工作人员的交通安全。</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4.各赛项的安全管理，除了可以采取必要的安全隔离措施外，应严格遵守国家相关法律法规，保护个人隐私和人身自由。</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（三）应急处理</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比赛期间发生意外事故时，发现者应在第一时间报告赛项执委会，同时采取措施，避免事态扩大。赛项执委会应立即启动预案予以解决并向赛项</w:t>
      </w:r>
      <w:r>
        <w:rPr>
          <w:rFonts w:ascii="仿宋_GB2312" w:hAnsi="Cambria" w:eastAsia="仿宋_GB2312"/>
          <w:bCs/>
          <w:color w:val="000000"/>
          <w:kern w:val="28"/>
          <w:sz w:val="28"/>
          <w:szCs w:val="28"/>
        </w:rPr>
        <w:t>组</w:t>
      </w:r>
      <w:r>
        <w:rPr>
          <w:rFonts w:hint="eastAsia" w:ascii="仿宋_GB2312" w:hAnsi="Cambria" w:eastAsia="仿宋_GB2312"/>
          <w:bCs/>
          <w:color w:val="000000"/>
          <w:kern w:val="28"/>
          <w:sz w:val="28"/>
          <w:szCs w:val="28"/>
        </w:rPr>
        <w:t>委会报告。出现重大安全问题的赛项可以停赛，是否停赛由赛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组委会决定。事后，赛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执委会应向上级领导部门报告详细情况。</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（四）处罚措施</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1.因参赛队伍原因造成重大安全事故的，取消其获奖资格。</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2.参赛队伍有发生重大安全事故隐患，经赛场工作人员提示、警告无效的，可取消其继续比赛的资格。</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3.赛事工作人员违规的，按照相应的制度追究责任。情节恶劣并造成重大安全事故的，由司法机关追究相应法律责任。</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十五、竞赛须知</w:t>
      </w:r>
    </w:p>
    <w:p>
      <w:pPr>
        <w:snapToGrid w:val="0"/>
        <w:spacing w:line="560" w:lineRule="exact"/>
        <w:ind w:firstLine="280" w:firstLineChars="100"/>
        <w:outlineLvl w:val="0"/>
        <w:rPr>
          <w:rFonts w:ascii="Arial Narrow" w:hAnsi="Arial Narrow" w:eastAsia="仿宋_GB2312"/>
          <w:sz w:val="30"/>
          <w:szCs w:val="30"/>
        </w:rPr>
      </w:pPr>
      <w:r>
        <w:rPr>
          <w:rFonts w:hint="eastAsia" w:ascii="Arial Narrow" w:hAnsi="Arial Narrow" w:eastAsia="仿宋_GB2312" w:cs="Arial"/>
          <w:sz w:val="28"/>
          <w:szCs w:val="30"/>
        </w:rPr>
        <w:t>（一）参赛队须知</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w:t>
      </w:r>
      <w:r>
        <w:rPr>
          <w:rFonts w:hint="eastAsia" w:ascii="仿宋_GB2312" w:hAnsi="Arial Narrow" w:eastAsia="仿宋_GB2312" w:cs="Arial"/>
          <w:sz w:val="28"/>
          <w:szCs w:val="30"/>
        </w:rPr>
        <w:t>参赛</w:t>
      </w:r>
      <w:r>
        <w:rPr>
          <w:rFonts w:ascii="仿宋_GB2312" w:hAnsi="Arial Narrow" w:eastAsia="仿宋_GB2312" w:cs="Arial"/>
          <w:sz w:val="28"/>
          <w:szCs w:val="30"/>
        </w:rPr>
        <w:t>队</w:t>
      </w:r>
      <w:r>
        <w:rPr>
          <w:rFonts w:hint="eastAsia" w:ascii="仿宋_GB2312" w:hAnsi="Arial Narrow" w:eastAsia="仿宋_GB2312" w:cs="Arial"/>
          <w:sz w:val="28"/>
          <w:szCs w:val="30"/>
        </w:rPr>
        <w:t>应该</w:t>
      </w:r>
      <w:r>
        <w:rPr>
          <w:rFonts w:ascii="仿宋_GB2312" w:hAnsi="Arial Narrow" w:eastAsia="仿宋_GB2312" w:cs="Arial"/>
          <w:sz w:val="28"/>
          <w:szCs w:val="30"/>
        </w:rPr>
        <w:t>参加</w:t>
      </w:r>
      <w:r>
        <w:rPr>
          <w:rFonts w:hint="eastAsia" w:ascii="仿宋_GB2312" w:hAnsi="Arial Narrow" w:eastAsia="仿宋_GB2312" w:cs="Arial"/>
          <w:sz w:val="28"/>
          <w:szCs w:val="30"/>
        </w:rPr>
        <w:t>赛项</w:t>
      </w:r>
      <w:r>
        <w:rPr>
          <w:rFonts w:ascii="仿宋_GB2312" w:hAnsi="Arial Narrow" w:eastAsia="仿宋_GB2312" w:cs="Arial"/>
          <w:sz w:val="28"/>
          <w:szCs w:val="30"/>
        </w:rPr>
        <w:t>承办单位组织的闭赛式等</w:t>
      </w:r>
      <w:r>
        <w:rPr>
          <w:rFonts w:hint="eastAsia" w:ascii="仿宋_GB2312" w:hAnsi="Arial Narrow" w:eastAsia="仿宋_GB2312" w:cs="Arial"/>
          <w:sz w:val="28"/>
          <w:szCs w:val="30"/>
        </w:rPr>
        <w:t>各项</w:t>
      </w:r>
      <w:r>
        <w:rPr>
          <w:rFonts w:ascii="仿宋_GB2312" w:hAnsi="Arial Narrow" w:eastAsia="仿宋_GB2312" w:cs="Arial"/>
          <w:sz w:val="28"/>
          <w:szCs w:val="30"/>
        </w:rPr>
        <w:t>赛事活动</w:t>
      </w:r>
      <w:r>
        <w:rPr>
          <w:rFonts w:hint="eastAsia" w:ascii="仿宋_GB2312" w:hAnsi="Arial Narrow" w:eastAsia="仿宋_GB2312" w:cs="Arial"/>
          <w:sz w:val="28"/>
          <w:szCs w:val="30"/>
        </w:rPr>
        <w:t>。</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w:t>
      </w:r>
      <w:r>
        <w:rPr>
          <w:rFonts w:hint="eastAsia" w:ascii="仿宋_GB2312" w:hAnsi="Arial Narrow" w:eastAsia="仿宋_GB2312" w:cs="Arial"/>
          <w:sz w:val="28"/>
          <w:szCs w:val="30"/>
        </w:rPr>
        <w:t>在赛事期间，领队及参赛队其他成员不得私自接触裁判，凡发现有弄虚作假者，取消其参赛资格，成绩无效。</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w:t>
      </w:r>
      <w:r>
        <w:rPr>
          <w:rFonts w:ascii="仿宋_GB2312" w:hAnsi="Arial Narrow" w:eastAsia="仿宋_GB2312" w:cs="Arial"/>
          <w:sz w:val="28"/>
          <w:szCs w:val="30"/>
        </w:rPr>
        <w:t>.</w:t>
      </w:r>
      <w:r>
        <w:rPr>
          <w:rFonts w:hint="eastAsia" w:ascii="仿宋_GB2312" w:hAnsi="Arial Narrow" w:eastAsia="仿宋_GB2312" w:cs="Arial"/>
          <w:sz w:val="28"/>
          <w:szCs w:val="30"/>
        </w:rPr>
        <w:t>所有</w:t>
      </w:r>
      <w:r>
        <w:rPr>
          <w:rFonts w:ascii="仿宋_GB2312" w:hAnsi="Arial Narrow" w:eastAsia="仿宋_GB2312" w:cs="Arial"/>
          <w:sz w:val="28"/>
          <w:szCs w:val="30"/>
        </w:rPr>
        <w:t>参赛</w:t>
      </w:r>
      <w:r>
        <w:rPr>
          <w:rFonts w:hint="eastAsia" w:ascii="仿宋_GB2312" w:hAnsi="Arial Narrow" w:eastAsia="仿宋_GB2312" w:cs="Arial"/>
          <w:sz w:val="28"/>
          <w:szCs w:val="30"/>
        </w:rPr>
        <w:t>人员须</w:t>
      </w:r>
      <w:r>
        <w:rPr>
          <w:rFonts w:ascii="仿宋_GB2312" w:hAnsi="Arial Narrow" w:eastAsia="仿宋_GB2312" w:cs="Arial"/>
          <w:sz w:val="28"/>
          <w:szCs w:val="30"/>
        </w:rPr>
        <w:t>按照赛项规程</w:t>
      </w:r>
      <w:r>
        <w:rPr>
          <w:rFonts w:hint="eastAsia" w:ascii="仿宋_GB2312" w:hAnsi="Arial Narrow" w:eastAsia="仿宋_GB2312" w:cs="Arial"/>
          <w:sz w:val="28"/>
          <w:szCs w:val="30"/>
        </w:rPr>
        <w:t>要求按照</w:t>
      </w:r>
      <w:r>
        <w:rPr>
          <w:rFonts w:ascii="仿宋_GB2312" w:hAnsi="Arial Narrow" w:eastAsia="仿宋_GB2312" w:cs="Arial"/>
          <w:sz w:val="28"/>
          <w:szCs w:val="30"/>
        </w:rPr>
        <w:t>完成赛项评价工作。</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4</w:t>
      </w:r>
      <w:r>
        <w:rPr>
          <w:rFonts w:ascii="仿宋_GB2312" w:hAnsi="Arial Narrow" w:eastAsia="仿宋_GB2312" w:cs="Arial"/>
          <w:sz w:val="28"/>
          <w:szCs w:val="30"/>
        </w:rPr>
        <w:t>.</w:t>
      </w:r>
      <w:r>
        <w:rPr>
          <w:rFonts w:hint="eastAsia" w:ascii="仿宋_GB2312" w:hAnsi="Arial Narrow" w:eastAsia="仿宋_GB2312" w:cs="Arial"/>
          <w:sz w:val="28"/>
          <w:szCs w:val="30"/>
        </w:rPr>
        <w:t>对于</w:t>
      </w:r>
      <w:r>
        <w:rPr>
          <w:rFonts w:ascii="仿宋_GB2312" w:hAnsi="Arial Narrow" w:eastAsia="仿宋_GB2312" w:cs="Arial"/>
          <w:sz w:val="28"/>
          <w:szCs w:val="30"/>
        </w:rPr>
        <w:t>有碍比赛公正和比赛正常进行的</w:t>
      </w:r>
      <w:r>
        <w:rPr>
          <w:rFonts w:hint="eastAsia" w:ascii="仿宋_GB2312" w:hAnsi="Arial Narrow" w:eastAsia="仿宋_GB2312" w:cs="Arial"/>
          <w:sz w:val="28"/>
          <w:szCs w:val="30"/>
        </w:rPr>
        <w:t>参赛队</w:t>
      </w:r>
      <w:r>
        <w:rPr>
          <w:rFonts w:ascii="仿宋_GB2312" w:hAnsi="Arial Narrow" w:eastAsia="仿宋_GB2312" w:cs="Arial"/>
          <w:sz w:val="28"/>
          <w:szCs w:val="30"/>
        </w:rPr>
        <w:t>，视其情节轻重</w:t>
      </w:r>
      <w:r>
        <w:rPr>
          <w:rFonts w:hint="eastAsia" w:ascii="仿宋_GB2312" w:hAnsi="Arial Narrow" w:eastAsia="仿宋_GB2312" w:cs="Arial"/>
          <w:sz w:val="28"/>
          <w:szCs w:val="30"/>
        </w:rPr>
        <w:t>，按照《全国职业院校技能大赛奖惩办法》</w:t>
      </w:r>
      <w:r>
        <w:rPr>
          <w:rFonts w:ascii="仿宋_GB2312" w:hAnsi="Arial Narrow" w:eastAsia="仿宋_GB2312" w:cs="Arial"/>
          <w:sz w:val="28"/>
          <w:szCs w:val="30"/>
        </w:rPr>
        <w:t>给予警告</w:t>
      </w:r>
      <w:r>
        <w:rPr>
          <w:rFonts w:hint="eastAsia" w:ascii="仿宋_GB2312" w:hAnsi="Arial Narrow" w:eastAsia="仿宋_GB2312" w:cs="Arial"/>
          <w:sz w:val="28"/>
          <w:szCs w:val="30"/>
        </w:rPr>
        <w:t>、</w:t>
      </w:r>
      <w:r>
        <w:rPr>
          <w:rFonts w:ascii="仿宋_GB2312" w:hAnsi="Arial Narrow" w:eastAsia="仿宋_GB2312" w:cs="Arial"/>
          <w:sz w:val="28"/>
          <w:szCs w:val="30"/>
        </w:rPr>
        <w:t>取消</w:t>
      </w:r>
      <w:r>
        <w:rPr>
          <w:rFonts w:hint="eastAsia" w:ascii="仿宋_GB2312" w:hAnsi="Arial Narrow" w:eastAsia="仿宋_GB2312" w:cs="Arial"/>
          <w:sz w:val="28"/>
          <w:szCs w:val="30"/>
        </w:rPr>
        <w:t>比赛</w:t>
      </w:r>
      <w:r>
        <w:rPr>
          <w:rFonts w:ascii="仿宋_GB2312" w:hAnsi="Arial Narrow" w:eastAsia="仿宋_GB2312" w:cs="Arial"/>
          <w:sz w:val="28"/>
          <w:szCs w:val="30"/>
        </w:rPr>
        <w:t>成绩</w:t>
      </w:r>
      <w:r>
        <w:rPr>
          <w:rFonts w:hint="eastAsia" w:ascii="仿宋_GB2312" w:hAnsi="Arial Narrow" w:eastAsia="仿宋_GB2312" w:cs="Arial"/>
          <w:sz w:val="28"/>
          <w:szCs w:val="30"/>
        </w:rPr>
        <w:t>、</w:t>
      </w:r>
      <w:r>
        <w:rPr>
          <w:rFonts w:ascii="仿宋_GB2312" w:hAnsi="Arial Narrow" w:eastAsia="仿宋_GB2312" w:cs="Arial"/>
          <w:sz w:val="28"/>
          <w:szCs w:val="30"/>
        </w:rPr>
        <w:t>通报批评</w:t>
      </w:r>
      <w:r>
        <w:rPr>
          <w:rFonts w:hint="eastAsia" w:ascii="仿宋_GB2312" w:hAnsi="Arial Narrow" w:eastAsia="仿宋_GB2312" w:cs="Arial"/>
          <w:sz w:val="28"/>
          <w:szCs w:val="30"/>
        </w:rPr>
        <w:t>等处理。其中</w:t>
      </w:r>
      <w:r>
        <w:rPr>
          <w:rFonts w:ascii="仿宋_GB2312" w:hAnsi="Arial Narrow" w:eastAsia="仿宋_GB2312" w:cs="Arial"/>
          <w:sz w:val="28"/>
          <w:szCs w:val="30"/>
        </w:rPr>
        <w:t>，</w:t>
      </w:r>
      <w:r>
        <w:rPr>
          <w:rFonts w:hint="eastAsia" w:ascii="仿宋_GB2312" w:hAnsi="Arial Narrow" w:eastAsia="仿宋_GB2312" w:cs="Arial"/>
          <w:sz w:val="28"/>
          <w:szCs w:val="30"/>
        </w:rPr>
        <w:t>对于比赛过程及有关活动</w:t>
      </w:r>
      <w:r>
        <w:rPr>
          <w:rFonts w:ascii="仿宋_GB2312" w:hAnsi="Arial Narrow" w:eastAsia="仿宋_GB2312" w:cs="Arial"/>
          <w:sz w:val="28"/>
          <w:szCs w:val="30"/>
        </w:rPr>
        <w:t>造成重</w:t>
      </w:r>
      <w:r>
        <w:rPr>
          <w:rFonts w:hint="eastAsia" w:ascii="仿宋_GB2312" w:hAnsi="Arial Narrow" w:eastAsia="仿宋_GB2312" w:cs="Arial"/>
          <w:sz w:val="28"/>
          <w:szCs w:val="30"/>
        </w:rPr>
        <w:t>大</w:t>
      </w:r>
      <w:r>
        <w:rPr>
          <w:rFonts w:ascii="仿宋_GB2312" w:hAnsi="Arial Narrow" w:eastAsia="仿宋_GB2312" w:cs="Arial"/>
          <w:sz w:val="28"/>
          <w:szCs w:val="30"/>
        </w:rPr>
        <w:t>影响的，</w:t>
      </w:r>
      <w:r>
        <w:rPr>
          <w:rFonts w:hint="eastAsia" w:ascii="仿宋_GB2312" w:hAnsi="Arial Narrow" w:eastAsia="仿宋_GB2312" w:cs="Arial"/>
          <w:sz w:val="28"/>
          <w:szCs w:val="30"/>
        </w:rPr>
        <w:t>以适当方式通告参赛院校或</w:t>
      </w:r>
      <w:r>
        <w:rPr>
          <w:rFonts w:ascii="仿宋_GB2312" w:hAnsi="Arial Narrow" w:eastAsia="仿宋_GB2312" w:cs="Arial"/>
          <w:sz w:val="28"/>
          <w:szCs w:val="30"/>
        </w:rPr>
        <w:t>其</w:t>
      </w:r>
      <w:r>
        <w:rPr>
          <w:rFonts w:hint="eastAsia" w:ascii="仿宋_GB2312" w:hAnsi="Arial Narrow" w:eastAsia="仿宋_GB2312" w:cs="Arial"/>
          <w:sz w:val="28"/>
          <w:szCs w:val="30"/>
        </w:rPr>
        <w:t>所属</w:t>
      </w:r>
      <w:r>
        <w:rPr>
          <w:rFonts w:ascii="仿宋_GB2312" w:hAnsi="Arial Narrow" w:eastAsia="仿宋_GB2312" w:cs="Arial"/>
          <w:sz w:val="28"/>
          <w:szCs w:val="30"/>
        </w:rPr>
        <w:t>地区的教育行政主管部门</w:t>
      </w:r>
      <w:r>
        <w:rPr>
          <w:rFonts w:hint="eastAsia" w:ascii="仿宋_GB2312" w:hAnsi="Arial Narrow" w:eastAsia="仿宋_GB2312" w:cs="Arial"/>
          <w:sz w:val="28"/>
          <w:szCs w:val="30"/>
        </w:rPr>
        <w:t>依据有关规定</w:t>
      </w:r>
      <w:r>
        <w:rPr>
          <w:rFonts w:ascii="仿宋_GB2312" w:hAnsi="Arial Narrow" w:eastAsia="仿宋_GB2312" w:cs="Arial"/>
          <w:sz w:val="28"/>
          <w:szCs w:val="30"/>
        </w:rPr>
        <w:t>给予行政或纪律处分</w:t>
      </w:r>
      <w:r>
        <w:rPr>
          <w:rFonts w:hint="eastAsia" w:ascii="仿宋_GB2312" w:hAnsi="Arial Narrow" w:eastAsia="仿宋_GB2312" w:cs="Arial"/>
          <w:sz w:val="28"/>
          <w:szCs w:val="30"/>
        </w:rPr>
        <w:t>，</w:t>
      </w:r>
      <w:r>
        <w:rPr>
          <w:rFonts w:ascii="仿宋_GB2312" w:hAnsi="Arial Narrow" w:eastAsia="仿宋_GB2312" w:cs="Arial"/>
          <w:sz w:val="28"/>
          <w:szCs w:val="30"/>
        </w:rPr>
        <w:t>同时</w:t>
      </w:r>
      <w:r>
        <w:rPr>
          <w:rFonts w:hint="eastAsia" w:ascii="仿宋_GB2312" w:hAnsi="Arial Narrow" w:eastAsia="仿宋_GB2312" w:cs="Arial"/>
          <w:sz w:val="28"/>
          <w:szCs w:val="30"/>
        </w:rPr>
        <w:t>停止该院校</w:t>
      </w:r>
      <w:r>
        <w:rPr>
          <w:rFonts w:ascii="仿宋_GB2312" w:hAnsi="Arial Narrow" w:eastAsia="仿宋_GB2312" w:cs="Arial"/>
          <w:sz w:val="28"/>
          <w:szCs w:val="30"/>
        </w:rPr>
        <w:t>参加全国职业院校技能大赛1</w:t>
      </w:r>
      <w:r>
        <w:rPr>
          <w:rFonts w:hint="eastAsia" w:ascii="仿宋_GB2312" w:hAnsi="Arial Narrow" w:eastAsia="仿宋_GB2312" w:cs="Arial"/>
          <w:sz w:val="28"/>
          <w:szCs w:val="30"/>
        </w:rPr>
        <w:t>年。涉及刑事犯罪的</w:t>
      </w:r>
      <w:r>
        <w:rPr>
          <w:rFonts w:ascii="仿宋_GB2312" w:hAnsi="Arial Narrow" w:eastAsia="仿宋_GB2312" w:cs="Arial"/>
          <w:sz w:val="28"/>
          <w:szCs w:val="30"/>
        </w:rPr>
        <w:t>移交司法机关处理。</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（二）指导教师须知</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w:t>
      </w:r>
      <w:r>
        <w:rPr>
          <w:rFonts w:hint="eastAsia" w:ascii="仿宋_GB2312" w:hAnsi="Arial Narrow" w:eastAsia="仿宋_GB2312" w:cs="Arial"/>
          <w:sz w:val="28"/>
          <w:szCs w:val="30"/>
        </w:rPr>
        <w:t>指导</w:t>
      </w:r>
      <w:r>
        <w:rPr>
          <w:rFonts w:ascii="仿宋_GB2312" w:hAnsi="Arial Narrow" w:eastAsia="仿宋_GB2312" w:cs="Arial"/>
          <w:sz w:val="28"/>
          <w:szCs w:val="30"/>
        </w:rPr>
        <w:t>教师</w:t>
      </w:r>
      <w:r>
        <w:rPr>
          <w:rFonts w:hint="eastAsia" w:ascii="仿宋_GB2312" w:hAnsi="Arial Narrow" w:eastAsia="仿宋_GB2312" w:cs="Arial"/>
          <w:sz w:val="28"/>
          <w:szCs w:val="30"/>
        </w:rPr>
        <w:t>应该</w:t>
      </w:r>
      <w:r>
        <w:rPr>
          <w:rFonts w:ascii="仿宋_GB2312" w:hAnsi="Arial Narrow" w:eastAsia="仿宋_GB2312" w:cs="Arial"/>
          <w:sz w:val="28"/>
          <w:szCs w:val="30"/>
        </w:rPr>
        <w:t>根据专业</w:t>
      </w:r>
      <w:r>
        <w:rPr>
          <w:rFonts w:hint="eastAsia" w:ascii="仿宋_GB2312" w:hAnsi="Arial Narrow" w:eastAsia="仿宋_GB2312" w:cs="Arial"/>
          <w:sz w:val="28"/>
          <w:szCs w:val="30"/>
        </w:rPr>
        <w:t>教学</w:t>
      </w:r>
      <w:r>
        <w:rPr>
          <w:rFonts w:ascii="仿宋_GB2312" w:hAnsi="Arial Narrow" w:eastAsia="仿宋_GB2312" w:cs="Arial"/>
          <w:sz w:val="28"/>
          <w:szCs w:val="30"/>
        </w:rPr>
        <w:t>计划和赛项规程合理制定训练方案，</w:t>
      </w:r>
      <w:r>
        <w:rPr>
          <w:rFonts w:hint="eastAsia" w:ascii="仿宋_GB2312" w:hAnsi="Arial Narrow" w:eastAsia="仿宋_GB2312" w:cs="Arial"/>
          <w:sz w:val="28"/>
          <w:szCs w:val="30"/>
        </w:rPr>
        <w:t>认真</w:t>
      </w:r>
      <w:r>
        <w:rPr>
          <w:rFonts w:ascii="仿宋_GB2312" w:hAnsi="Arial Narrow" w:eastAsia="仿宋_GB2312" w:cs="Arial"/>
          <w:sz w:val="28"/>
          <w:szCs w:val="30"/>
        </w:rPr>
        <w:t>指导选手训练</w:t>
      </w:r>
      <w:r>
        <w:rPr>
          <w:rFonts w:hint="eastAsia" w:ascii="仿宋_GB2312" w:hAnsi="Arial Narrow" w:eastAsia="仿宋_GB2312" w:cs="Arial"/>
          <w:sz w:val="28"/>
          <w:szCs w:val="30"/>
        </w:rPr>
        <w:t>，培养</w:t>
      </w:r>
      <w:r>
        <w:rPr>
          <w:rFonts w:ascii="仿宋_GB2312" w:hAnsi="Arial Narrow" w:eastAsia="仿宋_GB2312" w:cs="Arial"/>
          <w:sz w:val="28"/>
          <w:szCs w:val="30"/>
        </w:rPr>
        <w:t>选手的综合职业能力和</w:t>
      </w:r>
      <w:r>
        <w:rPr>
          <w:rFonts w:hint="eastAsia" w:ascii="仿宋_GB2312" w:hAnsi="Arial Narrow" w:eastAsia="仿宋_GB2312" w:cs="Arial"/>
          <w:sz w:val="28"/>
          <w:szCs w:val="30"/>
        </w:rPr>
        <w:t>良好</w:t>
      </w:r>
      <w:r>
        <w:rPr>
          <w:rFonts w:ascii="仿宋_GB2312" w:hAnsi="Arial Narrow" w:eastAsia="仿宋_GB2312" w:cs="Arial"/>
          <w:sz w:val="28"/>
          <w:szCs w:val="30"/>
        </w:rPr>
        <w:t>的职业素养，克服</w:t>
      </w:r>
      <w:r>
        <w:rPr>
          <w:rFonts w:hint="eastAsia" w:ascii="仿宋_GB2312" w:hAnsi="Arial Narrow" w:eastAsia="仿宋_GB2312" w:cs="Arial"/>
          <w:sz w:val="28"/>
          <w:szCs w:val="30"/>
        </w:rPr>
        <w:t>功利化</w:t>
      </w:r>
      <w:r>
        <w:rPr>
          <w:rFonts w:ascii="仿宋_GB2312" w:hAnsi="Arial Narrow" w:eastAsia="仿宋_GB2312" w:cs="Arial"/>
          <w:sz w:val="28"/>
          <w:szCs w:val="30"/>
        </w:rPr>
        <w:t>思想，</w:t>
      </w:r>
      <w:r>
        <w:rPr>
          <w:rFonts w:hint="eastAsia" w:ascii="仿宋_GB2312" w:hAnsi="Arial Narrow" w:eastAsia="仿宋_GB2312" w:cs="Arial"/>
          <w:sz w:val="28"/>
          <w:szCs w:val="30"/>
        </w:rPr>
        <w:t>避免为赛而学</w:t>
      </w:r>
      <w:r>
        <w:rPr>
          <w:rFonts w:ascii="仿宋_GB2312" w:hAnsi="Arial Narrow" w:eastAsia="仿宋_GB2312" w:cs="Arial"/>
          <w:sz w:val="28"/>
          <w:szCs w:val="30"/>
        </w:rPr>
        <w:t>、以赛代学。</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w:t>
      </w:r>
      <w:r>
        <w:rPr>
          <w:rFonts w:hint="eastAsia" w:ascii="仿宋_GB2312" w:hAnsi="Arial Narrow" w:eastAsia="仿宋_GB2312" w:cs="Arial"/>
          <w:sz w:val="28"/>
          <w:szCs w:val="30"/>
        </w:rPr>
        <w:t>指导</w:t>
      </w:r>
      <w:r>
        <w:rPr>
          <w:rFonts w:ascii="仿宋_GB2312" w:hAnsi="Arial Narrow" w:eastAsia="仿宋_GB2312" w:cs="Arial"/>
          <w:sz w:val="28"/>
          <w:szCs w:val="30"/>
        </w:rPr>
        <w:t>教师应该根据赛项规程要求</w:t>
      </w:r>
      <w:r>
        <w:rPr>
          <w:rFonts w:hint="eastAsia" w:ascii="仿宋_GB2312" w:hAnsi="Arial Narrow" w:eastAsia="仿宋_GB2312" w:cs="Arial"/>
          <w:sz w:val="28"/>
          <w:szCs w:val="30"/>
        </w:rPr>
        <w:t>做好参赛</w:t>
      </w:r>
      <w:r>
        <w:rPr>
          <w:rFonts w:ascii="仿宋_GB2312" w:hAnsi="Arial Narrow" w:eastAsia="仿宋_GB2312" w:cs="Arial"/>
          <w:sz w:val="28"/>
          <w:szCs w:val="30"/>
        </w:rPr>
        <w:t>选手</w:t>
      </w:r>
      <w:r>
        <w:rPr>
          <w:rFonts w:hint="eastAsia" w:ascii="仿宋_GB2312" w:hAnsi="Arial Narrow" w:eastAsia="仿宋_GB2312" w:cs="Arial"/>
          <w:sz w:val="28"/>
          <w:szCs w:val="30"/>
        </w:rPr>
        <w:t>安全</w:t>
      </w:r>
      <w:r>
        <w:rPr>
          <w:rFonts w:ascii="仿宋_GB2312" w:hAnsi="Arial Narrow" w:eastAsia="仿宋_GB2312" w:cs="Arial"/>
          <w:sz w:val="28"/>
          <w:szCs w:val="30"/>
        </w:rPr>
        <w:t>工作</w:t>
      </w:r>
      <w:r>
        <w:rPr>
          <w:rFonts w:hint="eastAsia" w:ascii="仿宋_GB2312" w:hAnsi="Arial Narrow" w:eastAsia="仿宋_GB2312" w:cs="Arial"/>
          <w:sz w:val="28"/>
          <w:szCs w:val="30"/>
        </w:rPr>
        <w:t>，并</w:t>
      </w:r>
      <w:r>
        <w:rPr>
          <w:rFonts w:ascii="仿宋_GB2312" w:hAnsi="Arial Narrow" w:eastAsia="仿宋_GB2312" w:cs="Arial"/>
          <w:sz w:val="28"/>
          <w:szCs w:val="30"/>
        </w:rPr>
        <w:t>积极做好选手的</w:t>
      </w:r>
      <w:r>
        <w:rPr>
          <w:rFonts w:hint="eastAsia" w:ascii="仿宋_GB2312" w:hAnsi="Arial Narrow" w:eastAsia="仿宋_GB2312" w:cs="Arial"/>
          <w:sz w:val="28"/>
          <w:szCs w:val="30"/>
        </w:rPr>
        <w:t>安全</w:t>
      </w:r>
      <w:r>
        <w:rPr>
          <w:rFonts w:ascii="仿宋_GB2312" w:hAnsi="Arial Narrow" w:eastAsia="仿宋_GB2312" w:cs="Arial"/>
          <w:sz w:val="28"/>
          <w:szCs w:val="30"/>
        </w:rPr>
        <w:t>教育</w:t>
      </w:r>
      <w:r>
        <w:rPr>
          <w:rFonts w:hint="eastAsia" w:ascii="仿宋_GB2312" w:hAnsi="Arial Narrow" w:eastAsia="仿宋_GB2312" w:cs="Arial"/>
          <w:sz w:val="28"/>
          <w:szCs w:val="30"/>
        </w:rPr>
        <w:t>。</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w:t>
      </w:r>
      <w:r>
        <w:rPr>
          <w:rFonts w:ascii="仿宋_GB2312" w:hAnsi="Arial Narrow" w:eastAsia="仿宋_GB2312" w:cs="Arial"/>
          <w:sz w:val="28"/>
          <w:szCs w:val="30"/>
        </w:rPr>
        <w:t>.</w:t>
      </w:r>
      <w:r>
        <w:rPr>
          <w:rFonts w:hint="eastAsia" w:ascii="仿宋_GB2312" w:hAnsi="Arial Narrow" w:eastAsia="仿宋_GB2312" w:cs="Arial"/>
          <w:sz w:val="28"/>
          <w:szCs w:val="30"/>
        </w:rPr>
        <w:t>指导</w:t>
      </w:r>
      <w:r>
        <w:rPr>
          <w:rFonts w:ascii="仿宋_GB2312" w:hAnsi="Arial Narrow" w:eastAsia="仿宋_GB2312" w:cs="Arial"/>
          <w:sz w:val="28"/>
          <w:szCs w:val="30"/>
        </w:rPr>
        <w:t>教师</w:t>
      </w:r>
      <w:r>
        <w:rPr>
          <w:rFonts w:hint="eastAsia" w:ascii="仿宋_GB2312" w:hAnsi="Arial Narrow" w:eastAsia="仿宋_GB2312" w:cs="Arial"/>
          <w:sz w:val="28"/>
          <w:szCs w:val="30"/>
        </w:rPr>
        <w:t>参加</w:t>
      </w:r>
      <w:r>
        <w:rPr>
          <w:rFonts w:ascii="仿宋_GB2312" w:hAnsi="Arial Narrow" w:eastAsia="仿宋_GB2312" w:cs="Arial"/>
          <w:sz w:val="28"/>
          <w:szCs w:val="30"/>
        </w:rPr>
        <w:t>赛项观摩</w:t>
      </w:r>
      <w:r>
        <w:rPr>
          <w:rFonts w:hint="eastAsia" w:ascii="仿宋_GB2312" w:hAnsi="Arial Narrow" w:eastAsia="仿宋_GB2312" w:cs="Arial"/>
          <w:sz w:val="28"/>
          <w:szCs w:val="30"/>
        </w:rPr>
        <w:t>等</w:t>
      </w:r>
      <w:r>
        <w:rPr>
          <w:rFonts w:ascii="仿宋_GB2312" w:hAnsi="Arial Narrow" w:eastAsia="仿宋_GB2312" w:cs="Arial"/>
          <w:sz w:val="28"/>
          <w:szCs w:val="30"/>
        </w:rPr>
        <w:t>活动，不得违反赛项规定进入赛场</w:t>
      </w:r>
      <w:r>
        <w:rPr>
          <w:rFonts w:hint="eastAsia" w:ascii="仿宋_GB2312" w:hAnsi="Arial Narrow" w:eastAsia="仿宋_GB2312" w:cs="Arial"/>
          <w:sz w:val="28"/>
          <w:szCs w:val="30"/>
        </w:rPr>
        <w:t>，</w:t>
      </w:r>
      <w:r>
        <w:rPr>
          <w:rFonts w:ascii="仿宋_GB2312" w:hAnsi="Arial Narrow" w:eastAsia="仿宋_GB2312" w:cs="Arial"/>
          <w:sz w:val="28"/>
          <w:szCs w:val="30"/>
        </w:rPr>
        <w:t>干扰比赛正常进行</w:t>
      </w:r>
      <w:r>
        <w:rPr>
          <w:rFonts w:hint="eastAsia" w:ascii="仿宋_GB2312" w:hAnsi="Arial Narrow" w:eastAsia="仿宋_GB2312" w:cs="Arial"/>
          <w:sz w:val="28"/>
          <w:szCs w:val="30"/>
        </w:rPr>
        <w:t>。</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（三）参赛选手须知</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1.</w:t>
      </w:r>
      <w:r>
        <w:rPr>
          <w:rFonts w:hint="eastAsia" w:ascii="仿宋_GB2312" w:hAnsi="Arial Narrow" w:eastAsia="仿宋_GB2312" w:cs="Arial"/>
          <w:sz w:val="28"/>
          <w:szCs w:val="30"/>
        </w:rPr>
        <w:t>参赛选手凭赛</w:t>
      </w:r>
      <w:r>
        <w:rPr>
          <w:rFonts w:ascii="仿宋_GB2312" w:hAnsi="Arial Narrow" w:eastAsia="仿宋_GB2312" w:cs="Arial"/>
          <w:sz w:val="28"/>
          <w:szCs w:val="30"/>
        </w:rPr>
        <w:t>项</w:t>
      </w:r>
      <w:r>
        <w:rPr>
          <w:rFonts w:hint="eastAsia" w:ascii="仿宋_GB2312" w:hAnsi="Arial Narrow" w:eastAsia="仿宋_GB2312" w:cs="Arial"/>
          <w:sz w:val="28"/>
          <w:szCs w:val="30"/>
        </w:rPr>
        <w:t>执委会颁发的参赛凭证和有效身份证件（身份证、学生证）参加竞赛及相关活动，在赛场内操作期间应当始终佩带参赛凭证以备检查。</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w:t>
      </w:r>
      <w:r>
        <w:rPr>
          <w:rFonts w:hint="eastAsia" w:ascii="仿宋_GB2312" w:hAnsi="Arial Narrow" w:eastAsia="仿宋_GB2312" w:cs="Arial"/>
          <w:sz w:val="28"/>
          <w:szCs w:val="30"/>
        </w:rPr>
        <w:t>参赛选手须严格按规定时间进入比赛场地，对现场条件进行确认并签字，按统一指令开始竞赛，在收到开赛信号前不得启动操作。各参赛队自行决定分工、工作程序和时间安排，在指定工位上完成竞赛项目。</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3.</w:t>
      </w:r>
      <w:r>
        <w:rPr>
          <w:rFonts w:hint="eastAsia" w:ascii="仿宋_GB2312" w:hAnsi="Arial Narrow" w:eastAsia="仿宋_GB2312" w:cs="Arial"/>
          <w:sz w:val="28"/>
          <w:szCs w:val="30"/>
        </w:rPr>
        <w:t>参赛选手不允许携带任何竞赛</w:t>
      </w:r>
      <w:r>
        <w:rPr>
          <w:rFonts w:ascii="仿宋_GB2312" w:hAnsi="Arial Narrow" w:eastAsia="仿宋_GB2312" w:cs="Arial"/>
          <w:sz w:val="28"/>
          <w:szCs w:val="30"/>
        </w:rPr>
        <w:t>规程</w:t>
      </w:r>
      <w:r>
        <w:rPr>
          <w:rFonts w:hint="eastAsia" w:ascii="仿宋_GB2312" w:hAnsi="Arial Narrow" w:eastAsia="仿宋_GB2312" w:cs="Arial"/>
          <w:sz w:val="28"/>
          <w:szCs w:val="30"/>
        </w:rPr>
        <w:t>禁止</w:t>
      </w:r>
      <w:r>
        <w:rPr>
          <w:rFonts w:ascii="仿宋_GB2312" w:hAnsi="Arial Narrow" w:eastAsia="仿宋_GB2312" w:cs="Arial"/>
          <w:sz w:val="28"/>
          <w:szCs w:val="30"/>
        </w:rPr>
        <w:t>使用的</w:t>
      </w:r>
      <w:r>
        <w:rPr>
          <w:rFonts w:hint="eastAsia" w:ascii="仿宋_GB2312" w:hAnsi="Arial Narrow" w:eastAsia="仿宋_GB2312" w:cs="Arial"/>
          <w:sz w:val="28"/>
          <w:szCs w:val="30"/>
        </w:rPr>
        <w:t>电子产品及通讯工具，以及其它与竞赛有关的资料和书籍，不得以任何方式泄露参赛院校、选手姓名等涉及竞赛场上应该保密的信息。</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4.</w:t>
      </w:r>
      <w:r>
        <w:rPr>
          <w:rFonts w:hint="eastAsia" w:ascii="仿宋_GB2312" w:hAnsi="Arial Narrow" w:eastAsia="仿宋_GB2312" w:cs="Arial"/>
          <w:sz w:val="28"/>
          <w:szCs w:val="30"/>
        </w:rPr>
        <w:t>参赛选手比赛时间内连续工作，食品、饮水等由赛场统一提供。选手休息、饮食及如厕时间均计算在比赛时间内。</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5.</w:t>
      </w:r>
      <w:r>
        <w:rPr>
          <w:rFonts w:hint="eastAsia" w:ascii="仿宋_GB2312" w:hAnsi="Arial Narrow" w:eastAsia="仿宋_GB2312" w:cs="Arial"/>
          <w:sz w:val="28"/>
          <w:szCs w:val="30"/>
        </w:rPr>
        <w:t>竞赛期间，参赛选手不得提前离开赛场。如特殊原因（如身体不适等）无法继续参赛的，需举手请示裁判，经裁判同意后方可离开赛场。选手离开赛场后不得在场外逗留，也不得再返回赛场。</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6.</w:t>
      </w:r>
      <w:r>
        <w:rPr>
          <w:rFonts w:hint="eastAsia" w:ascii="仿宋_GB2312" w:hAnsi="Arial Narrow" w:eastAsia="仿宋_GB2312" w:cs="Arial"/>
          <w:sz w:val="28"/>
          <w:szCs w:val="30"/>
        </w:rPr>
        <w:t>竞赛结束时间到后，选手不得再进行任何与竞赛有关的操作。参赛队若提前结束比赛，应向裁判员举手示意，裁判员记录比赛完成时间。</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7.</w:t>
      </w:r>
      <w:r>
        <w:rPr>
          <w:rFonts w:hint="eastAsia" w:ascii="仿宋_GB2312" w:hAnsi="Arial Narrow" w:eastAsia="仿宋_GB2312" w:cs="Arial"/>
          <w:sz w:val="28"/>
          <w:szCs w:val="30"/>
        </w:rPr>
        <w:t>参赛选手须按照竞赛要求及规定提交竞赛结果及相关文件，禁止在竞赛成果上做任何与竞赛无关的标记，如单位名称、参赛者姓名等，否则视为作弊。</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8.</w:t>
      </w:r>
      <w:r>
        <w:rPr>
          <w:rFonts w:hint="eastAsia" w:ascii="仿宋_GB2312" w:hAnsi="Arial Narrow" w:eastAsia="仿宋_GB2312" w:cs="Arial"/>
          <w:sz w:val="28"/>
          <w:szCs w:val="30"/>
        </w:rPr>
        <w:t>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9.</w:t>
      </w:r>
      <w:r>
        <w:rPr>
          <w:rFonts w:hint="eastAsia" w:ascii="仿宋_GB2312" w:hAnsi="Arial Narrow" w:eastAsia="仿宋_GB2312" w:cs="Arial"/>
          <w:sz w:val="28"/>
          <w:szCs w:val="30"/>
        </w:rPr>
        <w:t>参赛选手须严格遵守赛场规章制度、服从裁判，文明竞赛。有作弊行为的，参赛队该项成绩为0分；如有不服从裁判、扰乱赛场秩序等不文明行为，按照相关规定扣减分数，情节严重的取消比赛资格和成绩。</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10.</w:t>
      </w:r>
      <w:r>
        <w:rPr>
          <w:rFonts w:hint="eastAsia" w:ascii="仿宋_GB2312" w:hAnsi="Arial Narrow" w:eastAsia="仿宋_GB2312" w:cs="Arial"/>
          <w:sz w:val="28"/>
          <w:szCs w:val="30"/>
        </w:rPr>
        <w:t>为培养技能型人才的工作风格，在参赛期间，参赛选手应当注意保持工作环境及设备摆放，符合企业生产“5S”（即整理、整顿、清扫、清洁和素养）的原则，如果过于脏乱，裁判员有权酌情扣分。</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（四）工作人员须知</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1.服从赛项执委会的领导，遵守职业道德、坚持原则、按章办事，以高度负责的精神、严肃认真的态度和严谨细致的作风做好工作，为赛场提供有序的服务。</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2.佩带工作人员证件，仪表整洁，</w:t>
      </w:r>
      <w:r>
        <w:rPr>
          <w:rFonts w:ascii="仿宋_GB2312" w:hAnsi="Arial Narrow" w:eastAsia="仿宋_GB2312" w:cs="Arial"/>
          <w:sz w:val="28"/>
          <w:szCs w:val="30"/>
        </w:rPr>
        <w:t>忠于职守，</w:t>
      </w:r>
      <w:r>
        <w:rPr>
          <w:rFonts w:hint="eastAsia" w:ascii="仿宋_GB2312" w:hAnsi="Arial Narrow" w:eastAsia="仿宋_GB2312" w:cs="Arial"/>
          <w:sz w:val="28"/>
          <w:szCs w:val="30"/>
        </w:rPr>
        <w:t>语言举止文明礼貌。</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3.熟悉《竞赛规程》，认真执行竞赛规则，严格按照工作程序和有关规定办事，</w:t>
      </w:r>
      <w:r>
        <w:rPr>
          <w:rFonts w:ascii="仿宋_GB2312" w:hAnsi="Arial Narrow" w:eastAsia="仿宋_GB2312" w:cs="Arial"/>
          <w:sz w:val="28"/>
          <w:szCs w:val="30"/>
        </w:rPr>
        <w:t>遇突发事件，按照应急预案，组织指挥人员疏散，确保人员安全。</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4.</w:t>
      </w:r>
      <w:r>
        <w:rPr>
          <w:rFonts w:hint="eastAsia" w:ascii="仿宋_GB2312" w:hAnsi="Arial Narrow" w:eastAsia="仿宋_GB2312" w:cs="Arial"/>
          <w:sz w:val="28"/>
          <w:szCs w:val="30"/>
        </w:rPr>
        <w:t>坚守岗位，不迟到，不早退，不擅离职守。</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5</w:t>
      </w:r>
      <w:r>
        <w:rPr>
          <w:rFonts w:ascii="仿宋_GB2312" w:hAnsi="Arial Narrow" w:eastAsia="仿宋_GB2312" w:cs="Arial"/>
          <w:sz w:val="28"/>
          <w:szCs w:val="30"/>
        </w:rPr>
        <w:t>.</w:t>
      </w:r>
      <w:r>
        <w:rPr>
          <w:rFonts w:hint="eastAsia" w:ascii="仿宋_GB2312" w:hAnsi="Arial Narrow" w:eastAsia="仿宋_GB2312" w:cs="Arial"/>
          <w:sz w:val="28"/>
          <w:szCs w:val="30"/>
        </w:rPr>
        <w:t>赛场工作人员要积极维护好赛场秩序，以利于参赛选手正常发挥水平。</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6.</w:t>
      </w:r>
      <w:r>
        <w:rPr>
          <w:rFonts w:hint="eastAsia" w:ascii="仿宋_GB2312" w:hAnsi="Arial Narrow" w:eastAsia="仿宋_GB2312" w:cs="Arial"/>
          <w:sz w:val="28"/>
          <w:szCs w:val="30"/>
        </w:rPr>
        <w:t>赛场工作人员在比赛中不回答选手提出的任何有关比赛技术问题，如遇争议问题，需上报执委会。</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十六、申诉与仲裁</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w:t>
      </w:r>
      <w:r>
        <w:rPr>
          <w:rFonts w:hint="eastAsia" w:ascii="仿宋_GB2312" w:hAnsi="Arial Narrow" w:eastAsia="仿宋_GB2312" w:cs="Arial"/>
          <w:sz w:val="28"/>
          <w:szCs w:val="30"/>
        </w:rPr>
        <w:t>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选手赛场比赛内容全部完成）1小时之内向监督仲裁组提出书面申诉。</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2.</w:t>
      </w:r>
      <w:r>
        <w:rPr>
          <w:rFonts w:hint="eastAsia" w:ascii="仿宋_GB2312" w:hAnsi="Arial Narrow" w:eastAsia="仿宋_GB2312" w:cs="Arial"/>
          <w:sz w:val="28"/>
          <w:szCs w:val="30"/>
        </w:rPr>
        <w:t>书面申诉应对申诉事件的现象、发生时间、涉及人员、申诉依据等进行充分、实事求是的叙述，并由领队亲笔签名。非书面申诉不予受理。</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3.</w:t>
      </w:r>
      <w:r>
        <w:rPr>
          <w:rFonts w:hint="eastAsia" w:ascii="仿宋_GB2312" w:hAnsi="Arial Narrow" w:eastAsia="仿宋_GB2312" w:cs="Arial"/>
          <w:sz w:val="28"/>
          <w:szCs w:val="30"/>
        </w:rPr>
        <w:t>赛项监督仲裁组</w:t>
      </w:r>
      <w:r>
        <w:rPr>
          <w:rFonts w:hint="eastAsia" w:ascii="仿宋_GB2312" w:eastAsia="仿宋_GB2312"/>
          <w:sz w:val="28"/>
        </w:rPr>
        <w:t>收到申诉报告后，应根据申诉事由进行审查，2小时内通知申诉方，告知申诉处理结果</w:t>
      </w:r>
      <w:r>
        <w:rPr>
          <w:rFonts w:hint="eastAsia" w:ascii="仿宋_GB2312" w:hAnsi="Arial Narrow" w:eastAsia="仿宋_GB2312" w:cs="Arial"/>
          <w:sz w:val="28"/>
          <w:szCs w:val="30"/>
        </w:rPr>
        <w:t>。</w:t>
      </w:r>
    </w:p>
    <w:p>
      <w:pPr>
        <w:snapToGrid w:val="0"/>
        <w:spacing w:line="560" w:lineRule="exact"/>
        <w:ind w:firstLine="560" w:firstLineChars="200"/>
        <w:rPr>
          <w:rFonts w:ascii="仿宋_GB2312" w:hAnsi="Arial Narrow" w:eastAsia="仿宋_GB2312" w:cs="Arial"/>
          <w:sz w:val="28"/>
          <w:szCs w:val="30"/>
        </w:rPr>
      </w:pPr>
      <w:r>
        <w:rPr>
          <w:rFonts w:hint="eastAsia" w:ascii="仿宋_GB2312" w:eastAsia="仿宋_GB2312"/>
          <w:sz w:val="28"/>
        </w:rPr>
        <w:t>4.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r>
        <w:rPr>
          <w:rFonts w:ascii="仿宋_GB2312" w:eastAsia="仿宋_GB2312"/>
          <w:sz w:val="28"/>
        </w:rPr>
        <w:t>。</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5.</w:t>
      </w:r>
      <w:r>
        <w:rPr>
          <w:rFonts w:hint="eastAsia" w:ascii="仿宋_GB2312" w:hAnsi="Arial Narrow" w:eastAsia="仿宋_GB2312" w:cs="Arial"/>
          <w:sz w:val="28"/>
          <w:szCs w:val="30"/>
        </w:rPr>
        <w:t>仲裁结果由申诉人签收，不能代收，如在约定时间和地点申诉人离开，视为自行放弃申诉。</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6.</w:t>
      </w:r>
      <w:r>
        <w:rPr>
          <w:rFonts w:hint="eastAsia" w:ascii="仿宋_GB2312" w:hAnsi="Arial Narrow" w:eastAsia="仿宋_GB2312" w:cs="Arial"/>
          <w:sz w:val="28"/>
          <w:szCs w:val="30"/>
        </w:rPr>
        <w:t>申诉方可随时提出放弃申诉。</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7.</w:t>
      </w:r>
      <w:r>
        <w:rPr>
          <w:rFonts w:hint="eastAsia" w:ascii="仿宋_GB2312" w:hAnsi="Arial Narrow" w:eastAsia="仿宋_GB2312" w:cs="Arial"/>
          <w:sz w:val="28"/>
          <w:szCs w:val="30"/>
        </w:rPr>
        <w:t>申诉方不得以任何理由采取过激行为扰乱赛场秩序。</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十七、竞赛观摩</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w:t>
      </w:r>
      <w:r>
        <w:rPr>
          <w:rFonts w:ascii="Arial Narrow" w:hAnsi="Arial Narrow" w:eastAsia="仿宋_GB2312" w:cs="Arial"/>
          <w:sz w:val="28"/>
          <w:szCs w:val="30"/>
        </w:rPr>
        <w:t>一）</w:t>
      </w:r>
      <w:r>
        <w:rPr>
          <w:rFonts w:hint="eastAsia" w:ascii="Arial Narrow" w:hAnsi="Arial Narrow" w:eastAsia="仿宋_GB2312" w:cs="Arial"/>
          <w:sz w:val="28"/>
          <w:szCs w:val="30"/>
        </w:rPr>
        <w:t>公开</w:t>
      </w:r>
      <w:r>
        <w:rPr>
          <w:rFonts w:ascii="Arial Narrow" w:hAnsi="Arial Narrow" w:eastAsia="仿宋_GB2312" w:cs="Arial"/>
          <w:sz w:val="28"/>
          <w:szCs w:val="30"/>
        </w:rPr>
        <w:t>观摩</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媒体观众可以在不打扰选手竞赛的要求下，沿现场指定观摩通道有组织地参观竞赛现场，了解物联网技术及职业教育教学成果。</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在赛场外布置开放式展区，对物联网技术应用进行科普宣传，将物联网技术应用在人们生活中的应用或者未来生活的应用对公众进行展现。</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w:t>
      </w:r>
      <w:r>
        <w:rPr>
          <w:rFonts w:ascii="Arial Narrow" w:hAnsi="Arial Narrow" w:eastAsia="仿宋_GB2312" w:cs="Arial"/>
          <w:sz w:val="28"/>
          <w:szCs w:val="30"/>
        </w:rPr>
        <w:t>二）</w:t>
      </w:r>
      <w:r>
        <w:rPr>
          <w:rFonts w:hint="eastAsia" w:ascii="Arial Narrow" w:hAnsi="Arial Narrow" w:eastAsia="仿宋_GB2312" w:cs="Arial"/>
          <w:sz w:val="28"/>
          <w:szCs w:val="30"/>
        </w:rPr>
        <w:t>组织</w:t>
      </w:r>
      <w:r>
        <w:rPr>
          <w:rFonts w:ascii="Arial Narrow" w:hAnsi="Arial Narrow" w:eastAsia="仿宋_GB2312" w:cs="Arial"/>
          <w:sz w:val="28"/>
          <w:szCs w:val="30"/>
        </w:rPr>
        <w:t>安排</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观摩</w:t>
      </w:r>
      <w:r>
        <w:rPr>
          <w:rFonts w:ascii="仿宋_GB2312" w:hAnsi="Arial Narrow" w:eastAsia="仿宋_GB2312" w:cs="Arial"/>
          <w:sz w:val="28"/>
          <w:szCs w:val="30"/>
        </w:rPr>
        <w:t>团</w:t>
      </w:r>
      <w:r>
        <w:rPr>
          <w:rFonts w:hint="eastAsia" w:ascii="仿宋_GB2312" w:hAnsi="Arial Narrow" w:eastAsia="仿宋_GB2312" w:cs="Arial"/>
          <w:sz w:val="28"/>
          <w:szCs w:val="30"/>
        </w:rPr>
        <w:t>在竞赛工作</w:t>
      </w:r>
      <w:r>
        <w:rPr>
          <w:rFonts w:ascii="仿宋_GB2312" w:hAnsi="Arial Narrow" w:eastAsia="仿宋_GB2312" w:cs="Arial"/>
          <w:sz w:val="28"/>
          <w:szCs w:val="30"/>
        </w:rPr>
        <w:t>人员</w:t>
      </w:r>
      <w:r>
        <w:rPr>
          <w:rFonts w:hint="eastAsia" w:ascii="仿宋_GB2312" w:hAnsi="Arial Narrow" w:eastAsia="仿宋_GB2312" w:cs="Arial"/>
          <w:sz w:val="28"/>
          <w:szCs w:val="30"/>
        </w:rPr>
        <w:t>带领下</w:t>
      </w:r>
      <w:r>
        <w:rPr>
          <w:rFonts w:ascii="仿宋_GB2312" w:hAnsi="Arial Narrow" w:eastAsia="仿宋_GB2312" w:cs="Arial"/>
          <w:sz w:val="28"/>
          <w:szCs w:val="30"/>
        </w:rPr>
        <w:t>，分</w:t>
      </w:r>
      <w:r>
        <w:rPr>
          <w:rFonts w:hint="eastAsia" w:ascii="仿宋_GB2312" w:hAnsi="Arial Narrow" w:eastAsia="仿宋_GB2312" w:cs="Arial"/>
          <w:sz w:val="28"/>
          <w:szCs w:val="30"/>
        </w:rPr>
        <w:t>批次到赛场观摩比赛。</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w:t>
      </w:r>
      <w:r>
        <w:rPr>
          <w:rFonts w:ascii="Arial Narrow" w:hAnsi="Arial Narrow" w:eastAsia="仿宋_GB2312" w:cs="Arial"/>
          <w:sz w:val="28"/>
          <w:szCs w:val="30"/>
        </w:rPr>
        <w:t>三）</w:t>
      </w:r>
      <w:r>
        <w:rPr>
          <w:rFonts w:hint="eastAsia" w:ascii="Arial Narrow" w:hAnsi="Arial Narrow" w:eastAsia="仿宋_GB2312" w:cs="Arial"/>
          <w:sz w:val="28"/>
          <w:szCs w:val="30"/>
        </w:rPr>
        <w:t>纪律</w:t>
      </w:r>
      <w:r>
        <w:rPr>
          <w:rFonts w:ascii="Arial Narrow" w:hAnsi="Arial Narrow" w:eastAsia="仿宋_GB2312" w:cs="Arial"/>
          <w:sz w:val="28"/>
          <w:szCs w:val="30"/>
        </w:rPr>
        <w:t>要求</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观摩团</w:t>
      </w:r>
      <w:r>
        <w:rPr>
          <w:rFonts w:ascii="仿宋_GB2312" w:hAnsi="Arial Narrow" w:eastAsia="仿宋_GB2312" w:cs="Arial"/>
          <w:sz w:val="28"/>
          <w:szCs w:val="30"/>
        </w:rPr>
        <w:t>成</w:t>
      </w:r>
      <w:r>
        <w:rPr>
          <w:rFonts w:hint="eastAsia" w:ascii="仿宋_GB2312" w:hAnsi="Arial Narrow" w:eastAsia="仿宋_GB2312" w:cs="Arial"/>
          <w:sz w:val="28"/>
          <w:szCs w:val="30"/>
        </w:rPr>
        <w:t>员在赛场需</w:t>
      </w:r>
      <w:r>
        <w:rPr>
          <w:rFonts w:ascii="仿宋_GB2312" w:hAnsi="Arial Narrow" w:eastAsia="仿宋_GB2312" w:cs="Arial"/>
          <w:sz w:val="28"/>
          <w:szCs w:val="30"/>
        </w:rPr>
        <w:t>保</w:t>
      </w:r>
      <w:r>
        <w:rPr>
          <w:rFonts w:hint="eastAsia" w:ascii="仿宋_GB2312" w:hAnsi="Arial Narrow" w:eastAsia="仿宋_GB2312" w:cs="Arial"/>
          <w:sz w:val="28"/>
          <w:szCs w:val="30"/>
        </w:rPr>
        <w:t>持安静，沿现场指定观摩通道有组织地参观竞赛现场，不</w:t>
      </w:r>
      <w:r>
        <w:rPr>
          <w:rFonts w:ascii="仿宋_GB2312" w:hAnsi="Arial Narrow" w:eastAsia="仿宋_GB2312" w:cs="Arial"/>
          <w:sz w:val="28"/>
          <w:szCs w:val="30"/>
        </w:rPr>
        <w:t>可进</w:t>
      </w:r>
      <w:r>
        <w:rPr>
          <w:rFonts w:hint="eastAsia" w:ascii="仿宋_GB2312" w:hAnsi="Arial Narrow" w:eastAsia="仿宋_GB2312" w:cs="Arial"/>
          <w:sz w:val="28"/>
          <w:szCs w:val="30"/>
        </w:rPr>
        <w:t>入比</w:t>
      </w:r>
      <w:r>
        <w:rPr>
          <w:rFonts w:ascii="仿宋_GB2312" w:hAnsi="Arial Narrow" w:eastAsia="仿宋_GB2312" w:cs="Arial"/>
          <w:sz w:val="28"/>
          <w:szCs w:val="30"/>
        </w:rPr>
        <w:t>赛</w:t>
      </w:r>
      <w:r>
        <w:rPr>
          <w:rFonts w:hint="eastAsia" w:ascii="仿宋_GB2312" w:hAnsi="Arial Narrow" w:eastAsia="仿宋_GB2312" w:cs="Arial"/>
          <w:sz w:val="28"/>
          <w:szCs w:val="30"/>
        </w:rPr>
        <w:t>区域，不</w:t>
      </w:r>
      <w:r>
        <w:rPr>
          <w:rFonts w:ascii="仿宋_GB2312" w:hAnsi="Arial Narrow" w:eastAsia="仿宋_GB2312" w:cs="Arial"/>
          <w:sz w:val="28"/>
          <w:szCs w:val="30"/>
        </w:rPr>
        <w:t>可</w:t>
      </w:r>
      <w:r>
        <w:rPr>
          <w:rFonts w:hint="eastAsia" w:ascii="仿宋_GB2312" w:hAnsi="Arial Narrow" w:eastAsia="仿宋_GB2312" w:cs="Arial"/>
          <w:sz w:val="28"/>
          <w:szCs w:val="30"/>
        </w:rPr>
        <w:t>接触设备，</w:t>
      </w:r>
      <w:r>
        <w:rPr>
          <w:rFonts w:ascii="仿宋_GB2312" w:hAnsi="Arial Narrow" w:eastAsia="仿宋_GB2312" w:cs="Arial"/>
          <w:sz w:val="28"/>
          <w:szCs w:val="30"/>
        </w:rPr>
        <w:t>影响</w:t>
      </w:r>
      <w:r>
        <w:rPr>
          <w:rFonts w:hint="eastAsia" w:ascii="仿宋_GB2312" w:hAnsi="Arial Narrow" w:eastAsia="仿宋_GB2312" w:cs="Arial"/>
          <w:sz w:val="28"/>
          <w:szCs w:val="30"/>
        </w:rPr>
        <w:t>选手比</w:t>
      </w:r>
      <w:r>
        <w:rPr>
          <w:rFonts w:ascii="仿宋_GB2312" w:hAnsi="Arial Narrow" w:eastAsia="仿宋_GB2312" w:cs="Arial"/>
          <w:sz w:val="28"/>
          <w:szCs w:val="30"/>
        </w:rPr>
        <w:t xml:space="preserve">赛。 </w:t>
      </w:r>
    </w:p>
    <w:p>
      <w:pPr>
        <w:ind w:firstLine="560" w:firstLineChars="200"/>
      </w:pPr>
      <w:r>
        <w:rPr>
          <w:rFonts w:hint="eastAsia" w:ascii="仿宋_GB2312" w:hAnsi="Arial Narrow" w:eastAsia="仿宋_GB2312" w:cs="Arial"/>
          <w:sz w:val="28"/>
          <w:szCs w:val="30"/>
        </w:rPr>
        <w:t>观摩</w:t>
      </w:r>
      <w:r>
        <w:rPr>
          <w:rFonts w:ascii="仿宋_GB2312" w:hAnsi="Arial Narrow" w:eastAsia="仿宋_GB2312" w:cs="Arial"/>
          <w:sz w:val="28"/>
          <w:szCs w:val="30"/>
        </w:rPr>
        <w:t>者不</w:t>
      </w:r>
      <w:r>
        <w:rPr>
          <w:rFonts w:hint="eastAsia" w:ascii="仿宋_GB2312" w:hAnsi="Arial Narrow" w:eastAsia="仿宋_GB2312" w:cs="Arial"/>
          <w:sz w:val="28"/>
          <w:szCs w:val="30"/>
        </w:rPr>
        <w:t>可携带手机、IPAD等通讯工</w:t>
      </w:r>
      <w:r>
        <w:rPr>
          <w:rFonts w:ascii="仿宋_GB2312" w:hAnsi="Arial Narrow" w:eastAsia="仿宋_GB2312" w:cs="Arial"/>
          <w:sz w:val="28"/>
          <w:szCs w:val="30"/>
        </w:rPr>
        <w:t>具</w:t>
      </w:r>
      <w:r>
        <w:rPr>
          <w:rFonts w:hint="eastAsia" w:ascii="仿宋_GB2312" w:hAnsi="Arial Narrow" w:eastAsia="仿宋_GB2312" w:cs="Arial"/>
          <w:sz w:val="28"/>
          <w:szCs w:val="30"/>
        </w:rPr>
        <w:t>进入赛</w:t>
      </w:r>
      <w:r>
        <w:rPr>
          <w:rFonts w:ascii="仿宋_GB2312" w:hAnsi="Arial Narrow" w:eastAsia="仿宋_GB2312" w:cs="Arial"/>
          <w:sz w:val="28"/>
          <w:szCs w:val="30"/>
        </w:rPr>
        <w:t>场</w:t>
      </w:r>
      <w:r>
        <w:rPr>
          <w:rFonts w:hint="eastAsia" w:ascii="仿宋_GB2312" w:hAnsi="Arial Narrow" w:eastAsia="仿宋_GB2312" w:cs="Arial"/>
          <w:sz w:val="28"/>
          <w:szCs w:val="30"/>
        </w:rPr>
        <w:t>，不</w:t>
      </w:r>
      <w:r>
        <w:rPr>
          <w:rFonts w:ascii="仿宋_GB2312" w:hAnsi="Arial Narrow" w:eastAsia="仿宋_GB2312" w:cs="Arial"/>
          <w:sz w:val="28"/>
          <w:szCs w:val="30"/>
        </w:rPr>
        <w:t>可</w:t>
      </w:r>
      <w:r>
        <w:rPr>
          <w:rFonts w:hint="eastAsia" w:ascii="仿宋_GB2312" w:hAnsi="Arial Narrow" w:eastAsia="仿宋_GB2312" w:cs="Arial"/>
          <w:sz w:val="28"/>
          <w:szCs w:val="30"/>
        </w:rPr>
        <w:t>与选手讲话、</w:t>
      </w:r>
      <w:r>
        <w:rPr>
          <w:rFonts w:ascii="仿宋_GB2312" w:hAnsi="Arial Narrow" w:eastAsia="仿宋_GB2312" w:cs="Arial"/>
          <w:sz w:val="28"/>
          <w:szCs w:val="30"/>
        </w:rPr>
        <w:t>传</w:t>
      </w:r>
      <w:r>
        <w:rPr>
          <w:rFonts w:hint="eastAsia" w:ascii="仿宋_GB2312" w:hAnsi="Arial Narrow" w:eastAsia="仿宋_GB2312" w:cs="Arial"/>
          <w:sz w:val="28"/>
          <w:szCs w:val="30"/>
        </w:rPr>
        <w:t>递信息等</w:t>
      </w:r>
      <w:r>
        <w:rPr>
          <w:rFonts w:ascii="仿宋_GB2312" w:hAnsi="Arial Narrow" w:eastAsia="仿宋_GB2312" w:cs="Arial"/>
          <w:sz w:val="28"/>
          <w:szCs w:val="30"/>
        </w:rPr>
        <w:t>，需</w:t>
      </w:r>
      <w:r>
        <w:rPr>
          <w:rFonts w:hint="eastAsia" w:ascii="仿宋_GB2312" w:hAnsi="Arial Narrow" w:eastAsia="仿宋_GB2312" w:cs="Arial"/>
          <w:sz w:val="28"/>
          <w:szCs w:val="30"/>
        </w:rPr>
        <w:t>遵守赛</w:t>
      </w:r>
      <w:r>
        <w:rPr>
          <w:rFonts w:ascii="仿宋_GB2312" w:hAnsi="Arial Narrow" w:eastAsia="仿宋_GB2312" w:cs="Arial"/>
          <w:sz w:val="28"/>
          <w:szCs w:val="30"/>
        </w:rPr>
        <w:t>场</w:t>
      </w:r>
      <w:r>
        <w:rPr>
          <w:rFonts w:hint="eastAsia" w:ascii="仿宋_GB2312" w:hAnsi="Arial Narrow" w:eastAsia="仿宋_GB2312" w:cs="Arial"/>
          <w:sz w:val="28"/>
          <w:szCs w:val="30"/>
        </w:rPr>
        <w:t>纪律。</w:t>
      </w:r>
    </w:p>
    <w:p>
      <w:pPr>
        <w:pStyle w:val="2"/>
        <w:rPr>
          <w:rFonts w:ascii="Arial Narrow" w:hAnsi="Arial Narrow" w:eastAsia="仿宋_GB2312"/>
          <w:bCs w:val="0"/>
          <w:kern w:val="2"/>
          <w:sz w:val="30"/>
          <w:szCs w:val="30"/>
        </w:rPr>
      </w:pPr>
      <w:r>
        <w:rPr>
          <w:rFonts w:ascii="Arial Narrow" w:hAnsi="Arial Narrow" w:eastAsia="仿宋_GB2312"/>
          <w:bCs w:val="0"/>
          <w:kern w:val="2"/>
          <w:sz w:val="30"/>
          <w:szCs w:val="30"/>
        </w:rPr>
        <w:t>十八</w:t>
      </w:r>
      <w:r>
        <w:rPr>
          <w:rFonts w:hint="eastAsia" w:ascii="Arial Narrow" w:hAnsi="Arial Narrow" w:eastAsia="仿宋_GB2312"/>
          <w:bCs w:val="0"/>
          <w:kern w:val="2"/>
          <w:sz w:val="30"/>
          <w:szCs w:val="30"/>
        </w:rPr>
        <w:t>、其他</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 xml:space="preserve"> </w:t>
      </w:r>
      <w:r>
        <w:rPr>
          <w:rFonts w:hint="eastAsia" w:ascii="仿宋_GB2312" w:hAnsi="Arial Narrow" w:eastAsia="仿宋_GB2312" w:cs="Arial"/>
          <w:sz w:val="28"/>
          <w:szCs w:val="30"/>
        </w:rPr>
        <w:t>大赛任何工作都不应该破坏赛场周边环境。</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 xml:space="preserve"> </w:t>
      </w:r>
      <w:r>
        <w:rPr>
          <w:rFonts w:hint="eastAsia" w:ascii="仿宋_GB2312" w:hAnsi="Arial Narrow" w:eastAsia="仿宋_GB2312" w:cs="Arial"/>
          <w:sz w:val="28"/>
          <w:szCs w:val="30"/>
        </w:rPr>
        <w:t>提倡绿色环保的理念，所有可循环利用的材料都应分类处理和收集。</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Regular">
    <w:altName w:val="Times New Roman"/>
    <w:panose1 w:val="00000000000000000000"/>
    <w:charset w:val="00"/>
    <w:family w:val="roma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D240C"/>
    <w:multiLevelType w:val="multilevel"/>
    <w:tmpl w:val="345D240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3C6362E8"/>
    <w:multiLevelType w:val="multilevel"/>
    <w:tmpl w:val="3C6362E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501CA863"/>
    <w:multiLevelType w:val="singleLevel"/>
    <w:tmpl w:val="501CA863"/>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iZGYxOTBmMTAyNmI1Y2Q0MjU3YzJkYzRhOTU2YzcifQ=="/>
  </w:docVars>
  <w:rsids>
    <w:rsidRoot w:val="001E53BD"/>
    <w:rsid w:val="000101E2"/>
    <w:rsid w:val="00014808"/>
    <w:rsid w:val="000151EF"/>
    <w:rsid w:val="000230DF"/>
    <w:rsid w:val="00024369"/>
    <w:rsid w:val="00032D15"/>
    <w:rsid w:val="00035B0D"/>
    <w:rsid w:val="0003630C"/>
    <w:rsid w:val="000410EB"/>
    <w:rsid w:val="0004185F"/>
    <w:rsid w:val="00044679"/>
    <w:rsid w:val="000468EB"/>
    <w:rsid w:val="000478A2"/>
    <w:rsid w:val="00054346"/>
    <w:rsid w:val="00054776"/>
    <w:rsid w:val="0006426C"/>
    <w:rsid w:val="00071783"/>
    <w:rsid w:val="00072987"/>
    <w:rsid w:val="00073B5D"/>
    <w:rsid w:val="00074CCE"/>
    <w:rsid w:val="000774FA"/>
    <w:rsid w:val="0008032A"/>
    <w:rsid w:val="00080C4D"/>
    <w:rsid w:val="0008196D"/>
    <w:rsid w:val="000843BA"/>
    <w:rsid w:val="0008659E"/>
    <w:rsid w:val="00090BDB"/>
    <w:rsid w:val="00094585"/>
    <w:rsid w:val="0009643B"/>
    <w:rsid w:val="000A117C"/>
    <w:rsid w:val="000A12CA"/>
    <w:rsid w:val="000A307C"/>
    <w:rsid w:val="000A778F"/>
    <w:rsid w:val="000B0ED8"/>
    <w:rsid w:val="000B129F"/>
    <w:rsid w:val="000B6D08"/>
    <w:rsid w:val="000C04E0"/>
    <w:rsid w:val="000C1749"/>
    <w:rsid w:val="000C20E9"/>
    <w:rsid w:val="000D0B74"/>
    <w:rsid w:val="000E4F36"/>
    <w:rsid w:val="000E53D2"/>
    <w:rsid w:val="000E61B3"/>
    <w:rsid w:val="000F2C20"/>
    <w:rsid w:val="000F44B5"/>
    <w:rsid w:val="000F654F"/>
    <w:rsid w:val="000F75BD"/>
    <w:rsid w:val="00107805"/>
    <w:rsid w:val="00107EC1"/>
    <w:rsid w:val="001226A0"/>
    <w:rsid w:val="00123040"/>
    <w:rsid w:val="00130BB5"/>
    <w:rsid w:val="00130D71"/>
    <w:rsid w:val="001310E4"/>
    <w:rsid w:val="00131A6B"/>
    <w:rsid w:val="00133D51"/>
    <w:rsid w:val="00140BA2"/>
    <w:rsid w:val="0014320C"/>
    <w:rsid w:val="00146043"/>
    <w:rsid w:val="00146601"/>
    <w:rsid w:val="00147744"/>
    <w:rsid w:val="00151779"/>
    <w:rsid w:val="00154E83"/>
    <w:rsid w:val="00170C5F"/>
    <w:rsid w:val="00186A76"/>
    <w:rsid w:val="00186B26"/>
    <w:rsid w:val="00187438"/>
    <w:rsid w:val="001922F5"/>
    <w:rsid w:val="001937BA"/>
    <w:rsid w:val="001939ED"/>
    <w:rsid w:val="00194EBE"/>
    <w:rsid w:val="001A217C"/>
    <w:rsid w:val="001B2FEE"/>
    <w:rsid w:val="001B53E9"/>
    <w:rsid w:val="001C6D1F"/>
    <w:rsid w:val="001C724B"/>
    <w:rsid w:val="001D0D70"/>
    <w:rsid w:val="001D2710"/>
    <w:rsid w:val="001E0C7D"/>
    <w:rsid w:val="001E3FE2"/>
    <w:rsid w:val="001E4033"/>
    <w:rsid w:val="001E53BD"/>
    <w:rsid w:val="001E7BF3"/>
    <w:rsid w:val="00200E01"/>
    <w:rsid w:val="00206D38"/>
    <w:rsid w:val="00211A84"/>
    <w:rsid w:val="00211BD8"/>
    <w:rsid w:val="00214AC1"/>
    <w:rsid w:val="00225ECE"/>
    <w:rsid w:val="00226B63"/>
    <w:rsid w:val="00241779"/>
    <w:rsid w:val="00243124"/>
    <w:rsid w:val="00244B25"/>
    <w:rsid w:val="00246C34"/>
    <w:rsid w:val="00247CD1"/>
    <w:rsid w:val="00250E43"/>
    <w:rsid w:val="002532B6"/>
    <w:rsid w:val="0026166A"/>
    <w:rsid w:val="00266B08"/>
    <w:rsid w:val="00276B9A"/>
    <w:rsid w:val="00280969"/>
    <w:rsid w:val="00283A20"/>
    <w:rsid w:val="002851DF"/>
    <w:rsid w:val="002877EF"/>
    <w:rsid w:val="00287B40"/>
    <w:rsid w:val="00291FB8"/>
    <w:rsid w:val="002973FC"/>
    <w:rsid w:val="002977E7"/>
    <w:rsid w:val="002A1315"/>
    <w:rsid w:val="002A3E2B"/>
    <w:rsid w:val="002A48F6"/>
    <w:rsid w:val="002B037B"/>
    <w:rsid w:val="002B061E"/>
    <w:rsid w:val="002B129A"/>
    <w:rsid w:val="002B3966"/>
    <w:rsid w:val="002B6AEF"/>
    <w:rsid w:val="002C0A3D"/>
    <w:rsid w:val="002C3A84"/>
    <w:rsid w:val="002D2D3E"/>
    <w:rsid w:val="002D5765"/>
    <w:rsid w:val="002D6BDC"/>
    <w:rsid w:val="002E2876"/>
    <w:rsid w:val="002E398D"/>
    <w:rsid w:val="002E69F8"/>
    <w:rsid w:val="002F2674"/>
    <w:rsid w:val="002F3B52"/>
    <w:rsid w:val="00303EF5"/>
    <w:rsid w:val="003218B3"/>
    <w:rsid w:val="00323BDF"/>
    <w:rsid w:val="00331F39"/>
    <w:rsid w:val="003321D4"/>
    <w:rsid w:val="00332730"/>
    <w:rsid w:val="00333B39"/>
    <w:rsid w:val="00333F2B"/>
    <w:rsid w:val="00334EC9"/>
    <w:rsid w:val="00340ABC"/>
    <w:rsid w:val="00341486"/>
    <w:rsid w:val="00350D36"/>
    <w:rsid w:val="00355994"/>
    <w:rsid w:val="003604C2"/>
    <w:rsid w:val="00362110"/>
    <w:rsid w:val="003651D6"/>
    <w:rsid w:val="00372B04"/>
    <w:rsid w:val="00372E7B"/>
    <w:rsid w:val="00372EAE"/>
    <w:rsid w:val="00372F2B"/>
    <w:rsid w:val="00375037"/>
    <w:rsid w:val="00380709"/>
    <w:rsid w:val="0039354E"/>
    <w:rsid w:val="00393F90"/>
    <w:rsid w:val="003A43BC"/>
    <w:rsid w:val="003B2A0F"/>
    <w:rsid w:val="003B529D"/>
    <w:rsid w:val="003C1400"/>
    <w:rsid w:val="003C353D"/>
    <w:rsid w:val="003C733E"/>
    <w:rsid w:val="003D0464"/>
    <w:rsid w:val="003D2087"/>
    <w:rsid w:val="003D6E58"/>
    <w:rsid w:val="003F3B86"/>
    <w:rsid w:val="00404674"/>
    <w:rsid w:val="00417312"/>
    <w:rsid w:val="004204B3"/>
    <w:rsid w:val="004255A1"/>
    <w:rsid w:val="00427512"/>
    <w:rsid w:val="00427A26"/>
    <w:rsid w:val="004303E3"/>
    <w:rsid w:val="0043129C"/>
    <w:rsid w:val="00431858"/>
    <w:rsid w:val="004323AB"/>
    <w:rsid w:val="00433F0F"/>
    <w:rsid w:val="00435030"/>
    <w:rsid w:val="00436599"/>
    <w:rsid w:val="00437A42"/>
    <w:rsid w:val="004415B2"/>
    <w:rsid w:val="00442FB5"/>
    <w:rsid w:val="00464C9A"/>
    <w:rsid w:val="0046661F"/>
    <w:rsid w:val="00470B26"/>
    <w:rsid w:val="0047395C"/>
    <w:rsid w:val="00484691"/>
    <w:rsid w:val="00486CB8"/>
    <w:rsid w:val="0049127D"/>
    <w:rsid w:val="00491E12"/>
    <w:rsid w:val="00492F06"/>
    <w:rsid w:val="00496668"/>
    <w:rsid w:val="004A281C"/>
    <w:rsid w:val="004A3BB3"/>
    <w:rsid w:val="004A570F"/>
    <w:rsid w:val="004B0BAC"/>
    <w:rsid w:val="004B3039"/>
    <w:rsid w:val="004C22B0"/>
    <w:rsid w:val="004D1A7B"/>
    <w:rsid w:val="004D4460"/>
    <w:rsid w:val="004E1413"/>
    <w:rsid w:val="004E42C0"/>
    <w:rsid w:val="004E72AE"/>
    <w:rsid w:val="004F60DD"/>
    <w:rsid w:val="004F79DA"/>
    <w:rsid w:val="005005E8"/>
    <w:rsid w:val="00501A54"/>
    <w:rsid w:val="00512156"/>
    <w:rsid w:val="00512859"/>
    <w:rsid w:val="00512E88"/>
    <w:rsid w:val="00513687"/>
    <w:rsid w:val="00517BBB"/>
    <w:rsid w:val="005223ED"/>
    <w:rsid w:val="005229F8"/>
    <w:rsid w:val="00525CF4"/>
    <w:rsid w:val="00526D1A"/>
    <w:rsid w:val="00532DCB"/>
    <w:rsid w:val="00543251"/>
    <w:rsid w:val="005441C5"/>
    <w:rsid w:val="005463C0"/>
    <w:rsid w:val="0056360A"/>
    <w:rsid w:val="00570F9E"/>
    <w:rsid w:val="00577838"/>
    <w:rsid w:val="005879B7"/>
    <w:rsid w:val="00587D51"/>
    <w:rsid w:val="00590FE9"/>
    <w:rsid w:val="00591F6C"/>
    <w:rsid w:val="005922F3"/>
    <w:rsid w:val="005A0B91"/>
    <w:rsid w:val="005A54F2"/>
    <w:rsid w:val="005A7E32"/>
    <w:rsid w:val="005A7E9C"/>
    <w:rsid w:val="005B1FAB"/>
    <w:rsid w:val="005B3DF0"/>
    <w:rsid w:val="005C555C"/>
    <w:rsid w:val="005D0CA4"/>
    <w:rsid w:val="005D294E"/>
    <w:rsid w:val="005E3B19"/>
    <w:rsid w:val="005E577F"/>
    <w:rsid w:val="005E633E"/>
    <w:rsid w:val="005F0D7F"/>
    <w:rsid w:val="0060197B"/>
    <w:rsid w:val="00606EA0"/>
    <w:rsid w:val="00610677"/>
    <w:rsid w:val="00621093"/>
    <w:rsid w:val="00622D4E"/>
    <w:rsid w:val="006420A7"/>
    <w:rsid w:val="00642C87"/>
    <w:rsid w:val="00644986"/>
    <w:rsid w:val="00644D84"/>
    <w:rsid w:val="00651D19"/>
    <w:rsid w:val="00654A19"/>
    <w:rsid w:val="00661D1F"/>
    <w:rsid w:val="00663D71"/>
    <w:rsid w:val="0066605D"/>
    <w:rsid w:val="00672465"/>
    <w:rsid w:val="00675295"/>
    <w:rsid w:val="00677C5B"/>
    <w:rsid w:val="00681455"/>
    <w:rsid w:val="00694485"/>
    <w:rsid w:val="006A170D"/>
    <w:rsid w:val="006A5A1A"/>
    <w:rsid w:val="006A669D"/>
    <w:rsid w:val="006C40FE"/>
    <w:rsid w:val="006C691C"/>
    <w:rsid w:val="006D1F52"/>
    <w:rsid w:val="006D79CB"/>
    <w:rsid w:val="006E68AF"/>
    <w:rsid w:val="006F15B3"/>
    <w:rsid w:val="00705FF9"/>
    <w:rsid w:val="0071294B"/>
    <w:rsid w:val="00714C2B"/>
    <w:rsid w:val="0071664C"/>
    <w:rsid w:val="007211C8"/>
    <w:rsid w:val="00725AD4"/>
    <w:rsid w:val="00740D6D"/>
    <w:rsid w:val="00745F50"/>
    <w:rsid w:val="00746376"/>
    <w:rsid w:val="00750EBA"/>
    <w:rsid w:val="00750F15"/>
    <w:rsid w:val="00755D07"/>
    <w:rsid w:val="00760437"/>
    <w:rsid w:val="00762134"/>
    <w:rsid w:val="00762179"/>
    <w:rsid w:val="00763FFA"/>
    <w:rsid w:val="007662D1"/>
    <w:rsid w:val="00767B8A"/>
    <w:rsid w:val="00772D05"/>
    <w:rsid w:val="00774D8F"/>
    <w:rsid w:val="00775867"/>
    <w:rsid w:val="00782A97"/>
    <w:rsid w:val="00783EB4"/>
    <w:rsid w:val="0079149C"/>
    <w:rsid w:val="007942E4"/>
    <w:rsid w:val="00795E36"/>
    <w:rsid w:val="007B3DE2"/>
    <w:rsid w:val="007B56F3"/>
    <w:rsid w:val="007B7AA8"/>
    <w:rsid w:val="007C171B"/>
    <w:rsid w:val="007C19D9"/>
    <w:rsid w:val="007C201E"/>
    <w:rsid w:val="007D02F3"/>
    <w:rsid w:val="007D4AA2"/>
    <w:rsid w:val="007D4BBA"/>
    <w:rsid w:val="007E0129"/>
    <w:rsid w:val="007E1B0D"/>
    <w:rsid w:val="007F3623"/>
    <w:rsid w:val="00800903"/>
    <w:rsid w:val="00800C79"/>
    <w:rsid w:val="00801637"/>
    <w:rsid w:val="00805567"/>
    <w:rsid w:val="008075B3"/>
    <w:rsid w:val="00813EDB"/>
    <w:rsid w:val="00815718"/>
    <w:rsid w:val="00815ED7"/>
    <w:rsid w:val="008175ED"/>
    <w:rsid w:val="00830B2A"/>
    <w:rsid w:val="00830CB3"/>
    <w:rsid w:val="008318C5"/>
    <w:rsid w:val="00831D84"/>
    <w:rsid w:val="00836F4F"/>
    <w:rsid w:val="008418F9"/>
    <w:rsid w:val="00844A18"/>
    <w:rsid w:val="0085004A"/>
    <w:rsid w:val="0086020F"/>
    <w:rsid w:val="00866493"/>
    <w:rsid w:val="008775A0"/>
    <w:rsid w:val="008826A2"/>
    <w:rsid w:val="00886491"/>
    <w:rsid w:val="00886665"/>
    <w:rsid w:val="00887795"/>
    <w:rsid w:val="00887A33"/>
    <w:rsid w:val="00887E48"/>
    <w:rsid w:val="0089158B"/>
    <w:rsid w:val="0089551B"/>
    <w:rsid w:val="00895537"/>
    <w:rsid w:val="00897D0A"/>
    <w:rsid w:val="008A2084"/>
    <w:rsid w:val="008A6C8B"/>
    <w:rsid w:val="008B04C6"/>
    <w:rsid w:val="008B2776"/>
    <w:rsid w:val="008B3019"/>
    <w:rsid w:val="008C6737"/>
    <w:rsid w:val="008D07E3"/>
    <w:rsid w:val="008D0808"/>
    <w:rsid w:val="008D4467"/>
    <w:rsid w:val="008E0BC4"/>
    <w:rsid w:val="008F45D5"/>
    <w:rsid w:val="008F5FBD"/>
    <w:rsid w:val="008F6F76"/>
    <w:rsid w:val="009035BC"/>
    <w:rsid w:val="0091058C"/>
    <w:rsid w:val="00922B5B"/>
    <w:rsid w:val="00924E32"/>
    <w:rsid w:val="00927069"/>
    <w:rsid w:val="00930805"/>
    <w:rsid w:val="00931126"/>
    <w:rsid w:val="00934ED6"/>
    <w:rsid w:val="00935944"/>
    <w:rsid w:val="00936AE7"/>
    <w:rsid w:val="0094511E"/>
    <w:rsid w:val="00946B96"/>
    <w:rsid w:val="009474B7"/>
    <w:rsid w:val="0095215F"/>
    <w:rsid w:val="0095288E"/>
    <w:rsid w:val="00953D11"/>
    <w:rsid w:val="00953EEE"/>
    <w:rsid w:val="00956ED6"/>
    <w:rsid w:val="00957342"/>
    <w:rsid w:val="00957A7C"/>
    <w:rsid w:val="009605CB"/>
    <w:rsid w:val="00960ADD"/>
    <w:rsid w:val="0096729A"/>
    <w:rsid w:val="00971488"/>
    <w:rsid w:val="0097572F"/>
    <w:rsid w:val="009817F9"/>
    <w:rsid w:val="009838E6"/>
    <w:rsid w:val="009930E0"/>
    <w:rsid w:val="009A1BAA"/>
    <w:rsid w:val="009A1CDC"/>
    <w:rsid w:val="009A6463"/>
    <w:rsid w:val="009C07F6"/>
    <w:rsid w:val="009C4DC9"/>
    <w:rsid w:val="009C6B34"/>
    <w:rsid w:val="009C7BC2"/>
    <w:rsid w:val="009D19E0"/>
    <w:rsid w:val="009D41A7"/>
    <w:rsid w:val="009D592F"/>
    <w:rsid w:val="009D6AF5"/>
    <w:rsid w:val="009D6E85"/>
    <w:rsid w:val="009D7519"/>
    <w:rsid w:val="009E2A66"/>
    <w:rsid w:val="009F0907"/>
    <w:rsid w:val="009F1D86"/>
    <w:rsid w:val="009F233F"/>
    <w:rsid w:val="009F4F78"/>
    <w:rsid w:val="00A01E58"/>
    <w:rsid w:val="00A02A29"/>
    <w:rsid w:val="00A06218"/>
    <w:rsid w:val="00A12070"/>
    <w:rsid w:val="00A140B6"/>
    <w:rsid w:val="00A14426"/>
    <w:rsid w:val="00A20897"/>
    <w:rsid w:val="00A20913"/>
    <w:rsid w:val="00A32F5C"/>
    <w:rsid w:val="00A410E2"/>
    <w:rsid w:val="00A46FC2"/>
    <w:rsid w:val="00A55981"/>
    <w:rsid w:val="00A62344"/>
    <w:rsid w:val="00A64AFA"/>
    <w:rsid w:val="00A65874"/>
    <w:rsid w:val="00A65CB1"/>
    <w:rsid w:val="00A714E9"/>
    <w:rsid w:val="00A75133"/>
    <w:rsid w:val="00A83EC5"/>
    <w:rsid w:val="00A95AA7"/>
    <w:rsid w:val="00A96EED"/>
    <w:rsid w:val="00AA1033"/>
    <w:rsid w:val="00AA7315"/>
    <w:rsid w:val="00AB104E"/>
    <w:rsid w:val="00AB12AD"/>
    <w:rsid w:val="00AB2AB1"/>
    <w:rsid w:val="00AB3F0C"/>
    <w:rsid w:val="00AC7738"/>
    <w:rsid w:val="00AC78A1"/>
    <w:rsid w:val="00AC7C94"/>
    <w:rsid w:val="00AD066D"/>
    <w:rsid w:val="00AD46CE"/>
    <w:rsid w:val="00AD7F90"/>
    <w:rsid w:val="00B039EC"/>
    <w:rsid w:val="00B06F66"/>
    <w:rsid w:val="00B10DB5"/>
    <w:rsid w:val="00B118D1"/>
    <w:rsid w:val="00B1223A"/>
    <w:rsid w:val="00B13ABC"/>
    <w:rsid w:val="00B2301B"/>
    <w:rsid w:val="00B26D2A"/>
    <w:rsid w:val="00B27A52"/>
    <w:rsid w:val="00B27E6E"/>
    <w:rsid w:val="00B30824"/>
    <w:rsid w:val="00B3488F"/>
    <w:rsid w:val="00B365AF"/>
    <w:rsid w:val="00B50825"/>
    <w:rsid w:val="00B678F2"/>
    <w:rsid w:val="00B72317"/>
    <w:rsid w:val="00B7289A"/>
    <w:rsid w:val="00B72FD7"/>
    <w:rsid w:val="00B73CEC"/>
    <w:rsid w:val="00B7583B"/>
    <w:rsid w:val="00BA32E1"/>
    <w:rsid w:val="00BA5074"/>
    <w:rsid w:val="00BB2DC4"/>
    <w:rsid w:val="00BC60E2"/>
    <w:rsid w:val="00BC642D"/>
    <w:rsid w:val="00BD34BD"/>
    <w:rsid w:val="00BD623E"/>
    <w:rsid w:val="00BE2A04"/>
    <w:rsid w:val="00BE5E14"/>
    <w:rsid w:val="00BE6081"/>
    <w:rsid w:val="00BF5E57"/>
    <w:rsid w:val="00C010A0"/>
    <w:rsid w:val="00C02BBD"/>
    <w:rsid w:val="00C07B10"/>
    <w:rsid w:val="00C119D0"/>
    <w:rsid w:val="00C17F19"/>
    <w:rsid w:val="00C22EA1"/>
    <w:rsid w:val="00C2342C"/>
    <w:rsid w:val="00C34192"/>
    <w:rsid w:val="00C351F5"/>
    <w:rsid w:val="00C36E0A"/>
    <w:rsid w:val="00C45562"/>
    <w:rsid w:val="00C52B58"/>
    <w:rsid w:val="00C61883"/>
    <w:rsid w:val="00C62E92"/>
    <w:rsid w:val="00C82B75"/>
    <w:rsid w:val="00C83F2F"/>
    <w:rsid w:val="00C8550C"/>
    <w:rsid w:val="00C92A03"/>
    <w:rsid w:val="00C96BC3"/>
    <w:rsid w:val="00C96E0A"/>
    <w:rsid w:val="00CB2A1C"/>
    <w:rsid w:val="00CB6A4E"/>
    <w:rsid w:val="00CB7366"/>
    <w:rsid w:val="00CC2735"/>
    <w:rsid w:val="00CD2972"/>
    <w:rsid w:val="00CD68D4"/>
    <w:rsid w:val="00CD6E77"/>
    <w:rsid w:val="00CD7BC3"/>
    <w:rsid w:val="00CF5774"/>
    <w:rsid w:val="00CF7670"/>
    <w:rsid w:val="00CF785D"/>
    <w:rsid w:val="00CF7D0F"/>
    <w:rsid w:val="00D02854"/>
    <w:rsid w:val="00D02F4A"/>
    <w:rsid w:val="00D16C61"/>
    <w:rsid w:val="00D267F8"/>
    <w:rsid w:val="00D4006D"/>
    <w:rsid w:val="00D41E10"/>
    <w:rsid w:val="00D4662A"/>
    <w:rsid w:val="00D51DB3"/>
    <w:rsid w:val="00D5375B"/>
    <w:rsid w:val="00D54DC2"/>
    <w:rsid w:val="00D603EB"/>
    <w:rsid w:val="00D60977"/>
    <w:rsid w:val="00D60EED"/>
    <w:rsid w:val="00D70229"/>
    <w:rsid w:val="00D905B6"/>
    <w:rsid w:val="00D95896"/>
    <w:rsid w:val="00D96391"/>
    <w:rsid w:val="00DB32BC"/>
    <w:rsid w:val="00DC4DAE"/>
    <w:rsid w:val="00DC50A8"/>
    <w:rsid w:val="00DD6A85"/>
    <w:rsid w:val="00DE33F5"/>
    <w:rsid w:val="00DE3F7C"/>
    <w:rsid w:val="00DF087F"/>
    <w:rsid w:val="00DF481D"/>
    <w:rsid w:val="00DF4CD2"/>
    <w:rsid w:val="00DF7662"/>
    <w:rsid w:val="00E015CF"/>
    <w:rsid w:val="00E021BF"/>
    <w:rsid w:val="00E171BB"/>
    <w:rsid w:val="00E4233D"/>
    <w:rsid w:val="00E51265"/>
    <w:rsid w:val="00E531A0"/>
    <w:rsid w:val="00E5770D"/>
    <w:rsid w:val="00E643D9"/>
    <w:rsid w:val="00E64EE2"/>
    <w:rsid w:val="00E6531F"/>
    <w:rsid w:val="00E8337E"/>
    <w:rsid w:val="00E92EDE"/>
    <w:rsid w:val="00E93A71"/>
    <w:rsid w:val="00E9429F"/>
    <w:rsid w:val="00E95DFC"/>
    <w:rsid w:val="00E95FD2"/>
    <w:rsid w:val="00E96BAF"/>
    <w:rsid w:val="00EA3F1B"/>
    <w:rsid w:val="00EA790E"/>
    <w:rsid w:val="00EB0600"/>
    <w:rsid w:val="00EB34BC"/>
    <w:rsid w:val="00EB3624"/>
    <w:rsid w:val="00EB46E4"/>
    <w:rsid w:val="00EB4FA1"/>
    <w:rsid w:val="00EB6738"/>
    <w:rsid w:val="00EC5CAF"/>
    <w:rsid w:val="00EC5F5F"/>
    <w:rsid w:val="00EC73D6"/>
    <w:rsid w:val="00ED065B"/>
    <w:rsid w:val="00ED0D11"/>
    <w:rsid w:val="00ED47B6"/>
    <w:rsid w:val="00ED4C12"/>
    <w:rsid w:val="00EE0857"/>
    <w:rsid w:val="00EE1250"/>
    <w:rsid w:val="00EE1334"/>
    <w:rsid w:val="00EE13FC"/>
    <w:rsid w:val="00EE2468"/>
    <w:rsid w:val="00EE3674"/>
    <w:rsid w:val="00EE4130"/>
    <w:rsid w:val="00EE4F24"/>
    <w:rsid w:val="00EF0694"/>
    <w:rsid w:val="00EF3AFA"/>
    <w:rsid w:val="00EF4E01"/>
    <w:rsid w:val="00EF4E61"/>
    <w:rsid w:val="00EF5B77"/>
    <w:rsid w:val="00EF6C3E"/>
    <w:rsid w:val="00F0692C"/>
    <w:rsid w:val="00F06E5F"/>
    <w:rsid w:val="00F0701A"/>
    <w:rsid w:val="00F209B1"/>
    <w:rsid w:val="00F214EE"/>
    <w:rsid w:val="00F2187D"/>
    <w:rsid w:val="00F21F59"/>
    <w:rsid w:val="00F24760"/>
    <w:rsid w:val="00F316F0"/>
    <w:rsid w:val="00F33409"/>
    <w:rsid w:val="00F348BD"/>
    <w:rsid w:val="00F370E6"/>
    <w:rsid w:val="00F379B6"/>
    <w:rsid w:val="00F40899"/>
    <w:rsid w:val="00F4492B"/>
    <w:rsid w:val="00F503CC"/>
    <w:rsid w:val="00F53412"/>
    <w:rsid w:val="00F63ECF"/>
    <w:rsid w:val="00F66BFD"/>
    <w:rsid w:val="00F74374"/>
    <w:rsid w:val="00F81F81"/>
    <w:rsid w:val="00F83882"/>
    <w:rsid w:val="00F90189"/>
    <w:rsid w:val="00FB2B27"/>
    <w:rsid w:val="00FB54E0"/>
    <w:rsid w:val="00FD6A11"/>
    <w:rsid w:val="00FE0D93"/>
    <w:rsid w:val="00FE136E"/>
    <w:rsid w:val="00FE6E38"/>
    <w:rsid w:val="00FF2CFA"/>
    <w:rsid w:val="00FF2F3F"/>
    <w:rsid w:val="0EF90284"/>
    <w:rsid w:val="37CF45A5"/>
    <w:rsid w:val="442B50C6"/>
    <w:rsid w:val="443E0AF9"/>
    <w:rsid w:val="474C36BB"/>
    <w:rsid w:val="74C1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0"/>
    <w:pPr>
      <w:jc w:val="left"/>
    </w:pPr>
  </w:style>
  <w:style w:type="paragraph" w:styleId="4">
    <w:name w:val="Balloon Text"/>
    <w:basedOn w:val="1"/>
    <w:link w:val="19"/>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autoRedefine/>
    <w:qFormat/>
    <w:uiPriority w:val="0"/>
    <w:pPr>
      <w:snapToGrid w:val="0"/>
      <w:spacing w:line="540" w:lineRule="exact"/>
      <w:jc w:val="center"/>
    </w:pPr>
    <w:rPr>
      <w:rFonts w:ascii="黑体" w:hAnsi="黑体" w:eastAsia="黑体"/>
      <w:b/>
      <w:kern w:val="0"/>
      <w:sz w:val="36"/>
      <w:szCs w:val="36"/>
    </w:rPr>
  </w:style>
  <w:style w:type="paragraph" w:styleId="8">
    <w:name w:val="annotation subject"/>
    <w:basedOn w:val="3"/>
    <w:next w:val="3"/>
    <w:link w:val="21"/>
    <w:qFormat/>
    <w:uiPriority w:val="0"/>
    <w:rPr>
      <w:b/>
      <w:bCs/>
    </w:rPr>
  </w:style>
  <w:style w:type="character" w:styleId="11">
    <w:name w:val="annotation reference"/>
    <w:autoRedefine/>
    <w:qFormat/>
    <w:uiPriority w:val="0"/>
    <w:rPr>
      <w:sz w:val="21"/>
      <w:szCs w:val="21"/>
    </w:rPr>
  </w:style>
  <w:style w:type="character" w:customStyle="1" w:styleId="12">
    <w:name w:val="页眉 字符"/>
    <w:link w:val="6"/>
    <w:autoRedefine/>
    <w:qFormat/>
    <w:uiPriority w:val="0"/>
    <w:rPr>
      <w:rFonts w:ascii="Times New Roman" w:hAnsi="Times New Roman"/>
      <w:kern w:val="2"/>
      <w:sz w:val="18"/>
      <w:szCs w:val="18"/>
    </w:rPr>
  </w:style>
  <w:style w:type="character" w:customStyle="1" w:styleId="13">
    <w:name w:val="页脚 字符"/>
    <w:link w:val="5"/>
    <w:autoRedefine/>
    <w:qFormat/>
    <w:uiPriority w:val="0"/>
    <w:rPr>
      <w:rFonts w:ascii="Times New Roman" w:hAnsi="Times New Roman"/>
      <w:kern w:val="2"/>
      <w:sz w:val="18"/>
      <w:szCs w:val="18"/>
    </w:rPr>
  </w:style>
  <w:style w:type="character" w:customStyle="1" w:styleId="14">
    <w:name w:val="标题 1 字符1"/>
    <w:link w:val="2"/>
    <w:autoRedefine/>
    <w:qFormat/>
    <w:uiPriority w:val="0"/>
    <w:rPr>
      <w:rFonts w:ascii="Times New Roman" w:hAnsi="Times New Roman"/>
      <w:b/>
      <w:bCs/>
      <w:kern w:val="44"/>
      <w:sz w:val="44"/>
      <w:szCs w:val="44"/>
    </w:rPr>
  </w:style>
  <w:style w:type="paragraph" w:customStyle="1" w:styleId="15">
    <w:name w:val="彩色列表 - 着色 11"/>
    <w:basedOn w:val="1"/>
    <w:autoRedefine/>
    <w:qFormat/>
    <w:uiPriority w:val="99"/>
    <w:pPr>
      <w:ind w:firstLine="420" w:firstLineChars="200"/>
    </w:pPr>
    <w:rPr>
      <w:rFonts w:ascii="Calibri" w:hAnsi="Calibri"/>
      <w:szCs w:val="24"/>
    </w:rPr>
  </w:style>
  <w:style w:type="character" w:customStyle="1" w:styleId="16">
    <w:name w:val="标题 1 字符"/>
    <w:autoRedefine/>
    <w:qFormat/>
    <w:uiPriority w:val="0"/>
    <w:rPr>
      <w:rFonts w:ascii="Times New Roman" w:hAnsi="Times New Roman"/>
      <w:b/>
      <w:bCs/>
      <w:kern w:val="44"/>
      <w:sz w:val="44"/>
      <w:szCs w:val="44"/>
    </w:rPr>
  </w:style>
  <w:style w:type="character" w:customStyle="1" w:styleId="17">
    <w:name w:val="批注文字 Char"/>
    <w:autoRedefine/>
    <w:qFormat/>
    <w:uiPriority w:val="0"/>
    <w:rPr>
      <w:rFonts w:ascii="Times New Roman" w:hAnsi="Times New Roman"/>
      <w:kern w:val="2"/>
      <w:sz w:val="21"/>
      <w:szCs w:val="22"/>
    </w:rPr>
  </w:style>
  <w:style w:type="character" w:customStyle="1" w:styleId="18">
    <w:name w:val="批注文字 字符"/>
    <w:link w:val="3"/>
    <w:qFormat/>
    <w:uiPriority w:val="0"/>
    <w:rPr>
      <w:rFonts w:ascii="Times New Roman" w:hAnsi="Times New Roman"/>
      <w:kern w:val="2"/>
      <w:sz w:val="21"/>
      <w:szCs w:val="22"/>
    </w:rPr>
  </w:style>
  <w:style w:type="character" w:customStyle="1" w:styleId="19">
    <w:name w:val="批注框文本 字符"/>
    <w:link w:val="4"/>
    <w:qFormat/>
    <w:uiPriority w:val="0"/>
    <w:rPr>
      <w:rFonts w:ascii="Times New Roman" w:hAnsi="Times New Roman"/>
      <w:kern w:val="2"/>
      <w:sz w:val="18"/>
      <w:szCs w:val="18"/>
    </w:rPr>
  </w:style>
  <w:style w:type="paragraph" w:customStyle="1" w:styleId="20">
    <w:name w:val="Revision"/>
    <w:hidden/>
    <w:unhideWhenUsed/>
    <w:qFormat/>
    <w:uiPriority w:val="99"/>
    <w:rPr>
      <w:rFonts w:ascii="Times New Roman" w:hAnsi="Times New Roman" w:eastAsia="宋体" w:cs="Times New Roman"/>
      <w:kern w:val="2"/>
      <w:sz w:val="21"/>
      <w:szCs w:val="22"/>
      <w:lang w:val="en-US" w:eastAsia="zh-CN" w:bidi="ar-SA"/>
    </w:rPr>
  </w:style>
  <w:style w:type="character" w:customStyle="1" w:styleId="21">
    <w:name w:val="批注主题 字符"/>
    <w:link w:val="8"/>
    <w:qFormat/>
    <w:uiPriority w:val="0"/>
    <w:rPr>
      <w:rFonts w:ascii="Times New Roman" w:hAnsi="Times New Roman"/>
      <w:b/>
      <w:bCs/>
      <w:kern w:val="2"/>
      <w:sz w:val="21"/>
      <w:szCs w:val="22"/>
    </w:rPr>
  </w:style>
  <w:style w:type="character" w:customStyle="1" w:styleId="22">
    <w:name w:val="fontstyle01"/>
    <w:qFormat/>
    <w:uiPriority w:val="0"/>
    <w:rPr>
      <w:rFonts w:hint="eastAsia" w:ascii="仿宋" w:hAnsi="仿宋" w:eastAsia="仿宋"/>
      <w:color w:val="000000"/>
      <w:sz w:val="30"/>
      <w:szCs w:val="30"/>
    </w:rPr>
  </w:style>
  <w:style w:type="character" w:customStyle="1" w:styleId="23">
    <w:name w:val="fontstyle21"/>
    <w:qFormat/>
    <w:uiPriority w:val="0"/>
    <w:rPr>
      <w:rFonts w:hint="default" w:ascii="Wingdings-Regular" w:hAnsi="Wingdings-Regular"/>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10187</Words>
  <Characters>10721</Characters>
  <Lines>79</Lines>
  <Paragraphs>22</Paragraphs>
  <TotalTime>4</TotalTime>
  <ScaleCrop>false</ScaleCrop>
  <LinksUpToDate>false</LinksUpToDate>
  <CharactersWithSpaces>10795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2021-08-13T05:30:00Z</dcterms:created>
  <dc:creator>wang yideng</dc:creator>
  <cp:lastModifiedBy>Administrator</cp:lastModifiedBy>
  <dcterms:modified xsi:type="dcterms:W3CDTF">2024-06-23T07:35:55Z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BBAA0E80FCEE408FB408B0000610D643_12</vt:lpwstr>
  </property>
</Properties>
</file>