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5E523">
      <w:pPr>
        <w:jc w:val="center"/>
        <w:rPr>
          <w:rFonts w:ascii="方正小标宋简体" w:hAnsi="方正小标宋简体" w:eastAsia="方正小标宋简体" w:cs="方正小标宋简体"/>
          <w:sz w:val="72"/>
          <w:szCs w:val="72"/>
        </w:rPr>
      </w:pPr>
    </w:p>
    <w:p w14:paraId="0D4D8D78">
      <w:pPr>
        <w:pStyle w:val="6"/>
      </w:pPr>
    </w:p>
    <w:p w14:paraId="0B18F0A6"/>
    <w:p w14:paraId="68E92C01">
      <w:pPr>
        <w:jc w:val="center"/>
        <w:rPr>
          <w:rFonts w:hint="eastAsia" w:ascii="黑体" w:hAnsi="黑体" w:eastAsia="黑体" w:cs="黑体"/>
          <w:sz w:val="56"/>
          <w:szCs w:val="56"/>
        </w:rPr>
      </w:pPr>
      <w:r>
        <w:rPr>
          <w:rFonts w:hint="eastAsia" w:ascii="黑体" w:hAnsi="黑体" w:eastAsia="黑体" w:cs="黑体"/>
          <w:sz w:val="56"/>
          <w:szCs w:val="56"/>
        </w:rPr>
        <w:t>202</w:t>
      </w:r>
      <w:r>
        <w:rPr>
          <w:rFonts w:hint="eastAsia" w:ascii="黑体" w:hAnsi="黑体" w:eastAsia="黑体" w:cs="黑体"/>
          <w:sz w:val="56"/>
          <w:szCs w:val="56"/>
          <w:lang w:val="en-US" w:eastAsia="zh-CN"/>
        </w:rPr>
        <w:t>6</w:t>
      </w:r>
      <w:r>
        <w:rPr>
          <w:rFonts w:hint="eastAsia" w:ascii="黑体" w:hAnsi="黑体" w:eastAsia="黑体" w:cs="黑体"/>
          <w:b w:val="0"/>
          <w:bCs w:val="0"/>
          <w:sz w:val="56"/>
          <w:szCs w:val="56"/>
        </w:rPr>
        <w:t>年</w:t>
      </w:r>
      <w:r>
        <w:rPr>
          <w:rFonts w:hint="eastAsia" w:ascii="黑体" w:hAnsi="黑体" w:eastAsia="黑体" w:cs="黑体"/>
          <w:b w:val="0"/>
          <w:bCs w:val="0"/>
          <w:sz w:val="56"/>
          <w:szCs w:val="56"/>
          <w:lang w:val="en-US" w:eastAsia="zh-CN"/>
        </w:rPr>
        <w:t>唐山市中等</w:t>
      </w:r>
      <w:r>
        <w:rPr>
          <w:rFonts w:hint="eastAsia" w:ascii="黑体" w:hAnsi="黑体" w:eastAsia="黑体" w:cs="黑体"/>
          <w:b w:val="0"/>
          <w:bCs w:val="0"/>
          <w:sz w:val="56"/>
          <w:szCs w:val="56"/>
        </w:rPr>
        <w:t>职业</w:t>
      </w:r>
      <w:r>
        <w:rPr>
          <w:rFonts w:hint="eastAsia" w:ascii="黑体" w:hAnsi="黑体" w:eastAsia="黑体" w:cs="黑体"/>
          <w:sz w:val="56"/>
          <w:szCs w:val="56"/>
          <w:lang w:val="en-US" w:eastAsia="zh-CN"/>
        </w:rPr>
        <w:t>学</w:t>
      </w:r>
      <w:r>
        <w:rPr>
          <w:rFonts w:hint="eastAsia" w:ascii="黑体" w:hAnsi="黑体" w:eastAsia="黑体" w:cs="黑体"/>
          <w:sz w:val="56"/>
          <w:szCs w:val="56"/>
        </w:rPr>
        <w:t>校</w:t>
      </w:r>
    </w:p>
    <w:p w14:paraId="4E8262BA">
      <w:pPr>
        <w:jc w:val="center"/>
        <w:rPr>
          <w:rFonts w:hint="eastAsia" w:ascii="黑体" w:hAnsi="黑体" w:eastAsia="黑体" w:cs="黑体"/>
          <w:sz w:val="56"/>
          <w:szCs w:val="56"/>
        </w:rPr>
      </w:pPr>
      <w:r>
        <w:rPr>
          <w:rFonts w:hint="eastAsia" w:ascii="黑体" w:hAnsi="黑体" w:eastAsia="黑体" w:cs="黑体"/>
          <w:sz w:val="56"/>
          <w:szCs w:val="56"/>
        </w:rPr>
        <w:t>技能</w:t>
      </w:r>
      <w:r>
        <w:rPr>
          <w:rFonts w:hint="eastAsia" w:ascii="黑体" w:hAnsi="黑体" w:eastAsia="黑体" w:cs="黑体"/>
          <w:sz w:val="56"/>
          <w:szCs w:val="56"/>
          <w:lang w:val="en-US" w:eastAsia="zh-CN"/>
        </w:rPr>
        <w:t>竞赛市场</w:t>
      </w:r>
      <w:r>
        <w:rPr>
          <w:rFonts w:hint="eastAsia" w:ascii="黑体" w:hAnsi="黑体" w:eastAsia="黑体" w:cs="黑体"/>
          <w:sz w:val="56"/>
          <w:szCs w:val="56"/>
        </w:rPr>
        <w:t>营销赛项规程</w:t>
      </w:r>
    </w:p>
    <w:p w14:paraId="34D07D75">
      <w:pPr>
        <w:snapToGrid w:val="0"/>
        <w:spacing w:line="532" w:lineRule="atLeast"/>
        <w:jc w:val="center"/>
        <w:rPr>
          <w:rFonts w:ascii="Times New Roman" w:hAnsi="Times New Roman"/>
        </w:rPr>
      </w:pPr>
    </w:p>
    <w:p w14:paraId="748E0EDC">
      <w:pPr>
        <w:pStyle w:val="6"/>
      </w:pPr>
    </w:p>
    <w:p w14:paraId="21FC550A">
      <w:pPr>
        <w:snapToGrid w:val="0"/>
        <w:spacing w:line="243" w:lineRule="atLeast"/>
        <w:jc w:val="center"/>
        <w:rPr>
          <w:rFonts w:ascii="Times New Roman" w:hAnsi="Times New Roman"/>
        </w:rPr>
      </w:pPr>
    </w:p>
    <w:p w14:paraId="3D71CE42">
      <w:pPr>
        <w:snapToGrid w:val="0"/>
        <w:spacing w:line="243" w:lineRule="atLeast"/>
        <w:jc w:val="center"/>
        <w:rPr>
          <w:rFonts w:ascii="Times New Roman" w:hAnsi="Times New Roman"/>
        </w:rPr>
      </w:pPr>
    </w:p>
    <w:p w14:paraId="0ABCFC67">
      <w:pPr>
        <w:snapToGrid w:val="0"/>
        <w:spacing w:line="243" w:lineRule="atLeast"/>
        <w:jc w:val="center"/>
        <w:rPr>
          <w:rFonts w:ascii="Times New Roman" w:hAnsi="Times New Roman"/>
        </w:rPr>
      </w:pPr>
    </w:p>
    <w:p w14:paraId="440F518E">
      <w:pPr>
        <w:snapToGrid w:val="0"/>
        <w:spacing w:line="243" w:lineRule="atLeast"/>
        <w:jc w:val="center"/>
        <w:rPr>
          <w:rFonts w:ascii="Times New Roman" w:hAnsi="Times New Roman"/>
        </w:rPr>
      </w:pPr>
    </w:p>
    <w:p w14:paraId="6AB90D70">
      <w:pPr>
        <w:snapToGrid w:val="0"/>
        <w:spacing w:line="243" w:lineRule="atLeast"/>
        <w:jc w:val="center"/>
        <w:rPr>
          <w:rFonts w:ascii="Times New Roman" w:hAnsi="Times New Roman"/>
        </w:rPr>
      </w:pPr>
    </w:p>
    <w:p w14:paraId="05CAE9CF">
      <w:pPr>
        <w:snapToGrid w:val="0"/>
        <w:spacing w:line="243" w:lineRule="atLeast"/>
        <w:jc w:val="center"/>
        <w:rPr>
          <w:rFonts w:ascii="Times New Roman" w:hAnsi="Times New Roman"/>
        </w:rPr>
      </w:pPr>
    </w:p>
    <w:p w14:paraId="4685516F">
      <w:pPr>
        <w:snapToGrid w:val="0"/>
        <w:spacing w:line="243" w:lineRule="atLeast"/>
        <w:jc w:val="center"/>
        <w:rPr>
          <w:rFonts w:ascii="Times New Roman" w:hAnsi="Times New Roman"/>
        </w:rPr>
      </w:pPr>
    </w:p>
    <w:p w14:paraId="5AC8C6A9">
      <w:pPr>
        <w:snapToGrid w:val="0"/>
        <w:spacing w:line="243" w:lineRule="atLeast"/>
        <w:jc w:val="center"/>
        <w:rPr>
          <w:rFonts w:ascii="Times New Roman" w:hAnsi="Times New Roman"/>
        </w:rPr>
      </w:pPr>
    </w:p>
    <w:p w14:paraId="55046CF0">
      <w:pPr>
        <w:spacing w:line="800" w:lineRule="exact"/>
        <w:ind w:left="839"/>
        <w:rPr>
          <w:rFonts w:ascii="黑体" w:hAnsi="黑体" w:eastAsia="黑体" w:cs="黑体"/>
          <w:sz w:val="32"/>
          <w:u w:val="single"/>
        </w:rPr>
      </w:pPr>
      <w:r>
        <w:rPr>
          <w:rFonts w:hint="eastAsia" w:ascii="黑体" w:hAnsi="黑体" w:eastAsia="黑体" w:cs="黑体"/>
          <w:sz w:val="32"/>
        </w:rPr>
        <w:t>赛项名称：</w:t>
      </w:r>
      <w:r>
        <w:rPr>
          <w:rFonts w:hint="eastAsia" w:ascii="黑体" w:hAnsi="黑体" w:eastAsia="黑体" w:cs="黑体"/>
          <w:sz w:val="32"/>
          <w:u w:val="single"/>
        </w:rPr>
        <w:t xml:space="preserve">     </w:t>
      </w:r>
      <w:r>
        <w:rPr>
          <w:rFonts w:hint="eastAsia" w:ascii="黑体" w:hAnsi="黑体" w:eastAsia="黑体" w:cs="黑体"/>
          <w:sz w:val="32"/>
          <w:u w:val="single"/>
          <w:lang w:val="en-US" w:eastAsia="zh-CN"/>
        </w:rPr>
        <w:t xml:space="preserve"> 市场</w:t>
      </w:r>
      <w:r>
        <w:rPr>
          <w:rFonts w:hint="eastAsia" w:ascii="黑体" w:hAnsi="黑体" w:eastAsia="黑体" w:cs="黑体"/>
          <w:sz w:val="32"/>
          <w:u w:val="single"/>
        </w:rPr>
        <w:t xml:space="preserve">营销        </w:t>
      </w:r>
    </w:p>
    <w:p w14:paraId="38066371">
      <w:pPr>
        <w:spacing w:line="800" w:lineRule="exact"/>
        <w:ind w:left="839"/>
        <w:rPr>
          <w:rFonts w:ascii="黑体" w:hAnsi="黑体" w:eastAsia="黑体" w:cs="黑体"/>
          <w:sz w:val="32"/>
        </w:rPr>
      </w:pPr>
      <w:r>
        <w:rPr>
          <w:rFonts w:hint="eastAsia" w:ascii="黑体" w:hAnsi="黑体" w:eastAsia="黑体" w:cs="黑体"/>
          <w:sz w:val="32"/>
        </w:rPr>
        <w:t>英文名称：</w:t>
      </w:r>
      <w:r>
        <w:rPr>
          <w:rFonts w:hint="eastAsia" w:ascii="黑体" w:hAnsi="黑体" w:eastAsia="黑体" w:cs="黑体"/>
          <w:sz w:val="32"/>
          <w:u w:val="single"/>
        </w:rPr>
        <w:t xml:space="preserve">     Marketing</w:t>
      </w:r>
      <w:r>
        <w:rPr>
          <w:rFonts w:hint="eastAsia" w:ascii="黑体" w:hAnsi="黑体" w:eastAsia="黑体" w:cs="黑体"/>
          <w:sz w:val="32"/>
          <w:u w:val="single"/>
          <w:lang w:val="en-US" w:eastAsia="zh-CN"/>
        </w:rPr>
        <w:t xml:space="preserve">       </w:t>
      </w:r>
      <w:r>
        <w:rPr>
          <w:rFonts w:hint="eastAsia" w:ascii="黑体" w:hAnsi="黑体" w:eastAsia="黑体" w:cs="黑体"/>
          <w:sz w:val="32"/>
          <w:u w:val="single"/>
        </w:rPr>
        <w:t xml:space="preserve"> </w:t>
      </w:r>
    </w:p>
    <w:p w14:paraId="7F6C9C82">
      <w:pPr>
        <w:spacing w:line="800" w:lineRule="exact"/>
        <w:ind w:left="839"/>
        <w:rPr>
          <w:rFonts w:ascii="黑体" w:hAnsi="黑体" w:eastAsia="黑体" w:cs="黑体"/>
          <w:sz w:val="32"/>
        </w:rPr>
      </w:pPr>
      <w:r>
        <w:rPr>
          <w:rFonts w:hint="eastAsia" w:ascii="黑体" w:hAnsi="黑体" w:eastAsia="黑体" w:cs="黑体"/>
          <w:sz w:val="32"/>
        </w:rPr>
        <w:t>赛项组别：</w:t>
      </w:r>
      <w:r>
        <w:rPr>
          <w:rFonts w:hint="eastAsia" w:ascii="黑体" w:hAnsi="黑体" w:eastAsia="黑体" w:cs="黑体"/>
          <w:sz w:val="32"/>
          <w:u w:val="single"/>
        </w:rPr>
        <w:t xml:space="preserve">        </w:t>
      </w:r>
      <w:r>
        <w:rPr>
          <w:rFonts w:hint="eastAsia" w:ascii="黑体" w:hAnsi="黑体" w:eastAsia="黑体" w:cs="黑体"/>
          <w:sz w:val="32"/>
          <w:u w:val="single"/>
          <w:lang w:val="en-US" w:eastAsia="zh-CN"/>
        </w:rPr>
        <w:t>学生</w:t>
      </w:r>
      <w:r>
        <w:rPr>
          <w:rFonts w:hint="eastAsia" w:ascii="黑体" w:hAnsi="黑体" w:eastAsia="黑体" w:cs="黑体"/>
          <w:sz w:val="32"/>
          <w:u w:val="single"/>
        </w:rPr>
        <w:t xml:space="preserve">组        </w:t>
      </w:r>
    </w:p>
    <w:p w14:paraId="608B9871">
      <w:pPr>
        <w:jc w:val="center"/>
        <w:rPr>
          <w:rFonts w:ascii="Times New Roman" w:hAnsi="Times New Roman"/>
          <w:sz w:val="30"/>
        </w:rPr>
      </w:pPr>
    </w:p>
    <w:p w14:paraId="0C89BB91">
      <w:pPr>
        <w:jc w:val="center"/>
        <w:rPr>
          <w:rFonts w:ascii="Times New Roman" w:hAnsi="Times New Roman"/>
          <w:sz w:val="30"/>
        </w:rPr>
      </w:pPr>
    </w:p>
    <w:p w14:paraId="3C488B1B">
      <w:pPr>
        <w:widowControl/>
        <w:jc w:val="left"/>
        <w:rPr>
          <w:rFonts w:ascii="黑体" w:eastAsia="黑体"/>
          <w:sz w:val="32"/>
        </w:rPr>
        <w:sectPr>
          <w:footerReference r:id="rId3" w:type="default"/>
          <w:pgSz w:w="11906" w:h="16838"/>
          <w:pgMar w:top="1240" w:right="1800" w:bottom="1318" w:left="1800" w:header="851" w:footer="992" w:gutter="0"/>
          <w:cols w:space="720" w:num="1"/>
          <w:docGrid w:type="lines" w:linePitch="312" w:charSpace="0"/>
        </w:sectPr>
      </w:pPr>
    </w:p>
    <w:p w14:paraId="49EE6894">
      <w:pPr>
        <w:pStyle w:val="2"/>
        <w:rPr>
          <w:b w:val="0"/>
          <w:bCs/>
        </w:rPr>
      </w:pPr>
      <w:r>
        <w:rPr>
          <w:rFonts w:hint="eastAsia"/>
          <w:b w:val="0"/>
          <w:bCs/>
        </w:rPr>
        <w:t>一、竞赛目标</w:t>
      </w:r>
    </w:p>
    <w:p w14:paraId="08580BB9">
      <w:pPr>
        <w:pStyle w:val="2"/>
        <w:ind w:firstLine="560" w:firstLineChars="200"/>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赛项面向各行各业市场营销相关中、基层管理岗位，考察参赛选手市场营销基本职业素质、专业技能和综合应用能力，分为网络营销、新媒体营销两个环节。本次大赛旨在为各学校师生提供交流借鉴的平台，引领中等职业学校财经商贸专业建设和教学改革，以赛促教、以赛促学，推进专业建设与产业发展对接、课程内容与职业标准对接、人才培养过程与企业营销过程对接，提高市场营销等财经商贸类专业高技能人才培养质量和社会认可度与影响力。</w:t>
      </w:r>
    </w:p>
    <w:p w14:paraId="5AB1C07B">
      <w:pPr>
        <w:pStyle w:val="2"/>
        <w:rPr>
          <w:b w:val="0"/>
          <w:bCs/>
        </w:rPr>
      </w:pPr>
      <w:r>
        <w:rPr>
          <w:rFonts w:hint="eastAsia"/>
          <w:b w:val="0"/>
          <w:bCs/>
        </w:rPr>
        <w:t>二、竞赛内容</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4338"/>
        <w:gridCol w:w="1403"/>
        <w:gridCol w:w="1004"/>
      </w:tblGrid>
      <w:tr w14:paraId="7A81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777" w:type="dxa"/>
            <w:noWrap w:val="0"/>
            <w:vAlign w:val="center"/>
          </w:tcPr>
          <w:p w14:paraId="6316D085">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竞赛环节</w:t>
            </w:r>
          </w:p>
        </w:tc>
        <w:tc>
          <w:tcPr>
            <w:tcW w:w="4338" w:type="dxa"/>
            <w:noWrap w:val="0"/>
            <w:vAlign w:val="center"/>
          </w:tcPr>
          <w:p w14:paraId="5E5C8AC2">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竞赛内容</w:t>
            </w:r>
          </w:p>
        </w:tc>
        <w:tc>
          <w:tcPr>
            <w:tcW w:w="1403" w:type="dxa"/>
            <w:noWrap w:val="0"/>
            <w:vAlign w:val="center"/>
          </w:tcPr>
          <w:p w14:paraId="7D24CCE7">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时间</w:t>
            </w:r>
          </w:p>
        </w:tc>
        <w:tc>
          <w:tcPr>
            <w:tcW w:w="1004" w:type="dxa"/>
            <w:noWrap w:val="0"/>
            <w:vAlign w:val="center"/>
          </w:tcPr>
          <w:p w14:paraId="49E4968A">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kern w:val="2"/>
                <w:sz w:val="28"/>
                <w:szCs w:val="28"/>
                <w:lang w:val="en-US" w:eastAsia="zh-CN" w:bidi="ar-SA"/>
              </w:rPr>
              <w:t>分值</w:t>
            </w:r>
          </w:p>
        </w:tc>
      </w:tr>
      <w:tr w14:paraId="37C4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7" w:type="dxa"/>
            <w:noWrap w:val="0"/>
            <w:vAlign w:val="center"/>
          </w:tcPr>
          <w:p w14:paraId="68796492">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网络营销</w:t>
            </w:r>
          </w:p>
        </w:tc>
        <w:tc>
          <w:tcPr>
            <w:tcW w:w="4338" w:type="dxa"/>
            <w:noWrap w:val="0"/>
            <w:vAlign w:val="center"/>
          </w:tcPr>
          <w:p w14:paraId="254E33C5">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参赛选手须在竞赛平台允许的结构范围内，结合给定的企业数据与市场数据，借助数字媒体平台进行品牌传播，增加网站曝光度，提升品牌认知度。目标受众分析定位、产品页或服务页优化、搜索排名广告营销、搜索排名广告营销分析、图文及短视频等落地页推广、APP应用推广、应用推广数据分析等，通过竞价推广增加企业的展现量、点击量和点击率，通过SEO提高企业推广信息的自然排名SEO值，进而提高企业品牌认知度。</w:t>
            </w:r>
          </w:p>
        </w:tc>
        <w:tc>
          <w:tcPr>
            <w:tcW w:w="1403" w:type="dxa"/>
            <w:noWrap w:val="0"/>
            <w:vAlign w:val="center"/>
          </w:tcPr>
          <w:p w14:paraId="685D9614">
            <w:pPr>
              <w:pStyle w:val="2"/>
              <w:keepNext/>
              <w:snapToGrid w:val="0"/>
              <w:spacing w:line="240" w:lineRule="auto"/>
              <w:ind w:left="0" w:leftChars="0" w:right="0" w:rightChars="0" w:firstLine="0" w:firstLineChars="0"/>
              <w:jc w:val="left"/>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120分钟</w:t>
            </w:r>
          </w:p>
        </w:tc>
        <w:tc>
          <w:tcPr>
            <w:tcW w:w="1004" w:type="dxa"/>
            <w:noWrap w:val="0"/>
            <w:vAlign w:val="center"/>
          </w:tcPr>
          <w:p w14:paraId="1A24C5B2">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50分</w:t>
            </w:r>
          </w:p>
        </w:tc>
      </w:tr>
      <w:tr w14:paraId="0EBD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77" w:type="dxa"/>
            <w:noWrap w:val="0"/>
            <w:vAlign w:val="center"/>
          </w:tcPr>
          <w:p w14:paraId="1350B2A9">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新媒体营销</w:t>
            </w:r>
          </w:p>
        </w:tc>
        <w:tc>
          <w:tcPr>
            <w:tcW w:w="4338" w:type="dxa"/>
            <w:noWrap w:val="0"/>
            <w:vAlign w:val="center"/>
          </w:tcPr>
          <w:p w14:paraId="7DD8FD85">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任务一：根据企业营销目标，首先结合产品特性和目标客户特点，策划营销活动主题以及活动时间、活动参与方式、活动优惠力度等具体营销活动内容。然后根据营销文案传播特点，结合营销活动主题和内容，借助提供的新媒体编辑工具，设置吸引点击的文案标题和封面，采用图文混排的方式完成营销活动宣传文案的制作。</w:t>
            </w:r>
          </w:p>
          <w:p w14:paraId="3DDE0DEC">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任务二：根据企业宣传目标，首先结合企业品牌理念、产品和目标客户特点，设计企业宣传主题和内容，传达企业文化和理念。然后根据H5内容传播特点，结合企业宣传主题和内容，借助提供的H5编辑模板和图片素材，设置能激发分享欲的标题和封面，采用图文结合的动态展现方式，完成企业营销宣传海报的制作。</w:t>
            </w:r>
          </w:p>
        </w:tc>
        <w:tc>
          <w:tcPr>
            <w:tcW w:w="1403" w:type="dxa"/>
            <w:noWrap w:val="0"/>
            <w:vAlign w:val="center"/>
          </w:tcPr>
          <w:p w14:paraId="3E677E13">
            <w:pPr>
              <w:pStyle w:val="2"/>
              <w:keepNext/>
              <w:snapToGrid w:val="0"/>
              <w:spacing w:line="240" w:lineRule="auto"/>
              <w:ind w:left="0" w:leftChars="0" w:right="0" w:rightChars="0" w:firstLine="0" w:firstLineChars="0"/>
              <w:jc w:val="left"/>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120分钟</w:t>
            </w:r>
          </w:p>
        </w:tc>
        <w:tc>
          <w:tcPr>
            <w:tcW w:w="1004" w:type="dxa"/>
            <w:noWrap w:val="0"/>
            <w:vAlign w:val="center"/>
          </w:tcPr>
          <w:p w14:paraId="03F4158A">
            <w:pPr>
              <w:pStyle w:val="2"/>
              <w:keepNext/>
              <w:snapToGrid w:val="0"/>
              <w:spacing w:line="240" w:lineRule="auto"/>
              <w:ind w:left="0" w:leftChars="0" w:right="0" w:rightChars="0" w:firstLine="0" w:firstLineChars="0"/>
              <w:jc w:val="center"/>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50分</w:t>
            </w:r>
          </w:p>
        </w:tc>
      </w:tr>
    </w:tbl>
    <w:p w14:paraId="180EF817">
      <w:pPr>
        <w:pStyle w:val="2"/>
        <w:rPr>
          <w:b w:val="0"/>
          <w:bCs/>
        </w:rPr>
      </w:pPr>
      <w:r>
        <w:rPr>
          <w:rFonts w:hint="eastAsia"/>
          <w:b w:val="0"/>
          <w:bCs/>
        </w:rPr>
        <w:t>三、</w:t>
      </w:r>
      <w:r>
        <w:rPr>
          <w:b w:val="0"/>
          <w:bCs/>
        </w:rPr>
        <w:t>竞赛方式</w:t>
      </w:r>
    </w:p>
    <w:p w14:paraId="0E068D45">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（一）竞赛形式</w:t>
      </w:r>
    </w:p>
    <w:p w14:paraId="00CB3538">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本赛项竞赛形式为线下比赛。</w:t>
      </w:r>
    </w:p>
    <w:p w14:paraId="6AAC510B">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（二）组队方式</w:t>
      </w:r>
    </w:p>
    <w:p w14:paraId="5CE9BC9F">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参赛对象：参赛选手须为中等职业学校全日制在籍学生（以报名时的学籍信息为准）或五年制高职一至三年级学生。</w:t>
      </w:r>
    </w:p>
    <w:p w14:paraId="7F543C7E">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组队要求：本赛项为学生赛，以学校为单位组队参赛不得跨校组队，每所学校限报2个代表队，每队</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名选手、不超过2名指导教师。</w:t>
      </w:r>
    </w:p>
    <w:p w14:paraId="11B397D3">
      <w:pPr>
        <w:pStyle w:val="2"/>
        <w:rPr>
          <w:b w:val="0"/>
          <w:bCs/>
        </w:rPr>
      </w:pPr>
      <w:r>
        <w:rPr>
          <w:rFonts w:hint="eastAsia"/>
          <w:b w:val="0"/>
          <w:bCs/>
        </w:rPr>
        <w:t>四、竞赛流程</w:t>
      </w:r>
    </w:p>
    <w:p w14:paraId="373346A0">
      <w:pPr>
        <w:spacing w:line="360" w:lineRule="auto"/>
        <w:jc w:val="center"/>
        <w:rPr>
          <w:rFonts w:ascii="仿宋_GB2312" w:hAnsi="仿宋_GB2312" w:eastAsia="仿宋_GB2312" w:cs="仿宋_GB2312"/>
          <w:sz w:val="24"/>
        </w:rPr>
      </w:pPr>
      <w:r>
        <w:rPr>
          <w:rFonts w:hint="eastAsia" w:ascii="仿宋_GB2312" w:hAnsi="仿宋_GB2312" w:eastAsia="仿宋_GB2312" w:cs="仿宋_GB2312"/>
          <w:sz w:val="24"/>
        </w:rPr>
        <w:t>表</w:t>
      </w:r>
      <w:r>
        <w:rPr>
          <w:rFonts w:hint="eastAsia" w:ascii="仿宋_GB2312" w:hAnsi="仿宋_GB2312" w:eastAsia="仿宋_GB2312" w:cs="仿宋_GB2312"/>
          <w:sz w:val="24"/>
          <w:lang w:val="en-US" w:eastAsia="zh-CN"/>
        </w:rPr>
        <w:t xml:space="preserve">2 </w:t>
      </w:r>
      <w:r>
        <w:rPr>
          <w:rFonts w:hint="eastAsia" w:ascii="仿宋_GB2312" w:hAnsi="仿宋_GB2312" w:eastAsia="仿宋_GB2312" w:cs="仿宋_GB2312"/>
          <w:sz w:val="24"/>
        </w:rPr>
        <w:t>竞赛日程、比赛场次、竞技过程安排</w:t>
      </w:r>
    </w:p>
    <w:tbl>
      <w:tblPr>
        <w:tblStyle w:val="20"/>
        <w:tblW w:w="83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7"/>
        <w:gridCol w:w="1515"/>
        <w:gridCol w:w="1969"/>
        <w:gridCol w:w="1550"/>
        <w:gridCol w:w="1493"/>
        <w:gridCol w:w="1034"/>
      </w:tblGrid>
      <w:tr w14:paraId="48D67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77" w:type="dxa"/>
            <w:vAlign w:val="top"/>
          </w:tcPr>
          <w:p w14:paraId="2131359A">
            <w:pPr>
              <w:pStyle w:val="19"/>
              <w:spacing w:before="91" w:line="223" w:lineRule="auto"/>
              <w:ind w:left="239"/>
              <w:rPr>
                <w:highlight w:val="none"/>
              </w:rPr>
            </w:pPr>
            <w:r>
              <w:rPr>
                <w:b/>
                <w:bCs/>
                <w:spacing w:val="-36"/>
                <w:highlight w:val="none"/>
              </w:rPr>
              <w:t>日程</w:t>
            </w:r>
          </w:p>
        </w:tc>
        <w:tc>
          <w:tcPr>
            <w:tcW w:w="1515" w:type="dxa"/>
            <w:vAlign w:val="top"/>
          </w:tcPr>
          <w:p w14:paraId="17272354">
            <w:pPr>
              <w:pStyle w:val="19"/>
              <w:spacing w:before="91" w:line="223" w:lineRule="auto"/>
              <w:ind w:left="563"/>
              <w:rPr>
                <w:highlight w:val="none"/>
              </w:rPr>
            </w:pPr>
            <w:r>
              <w:rPr>
                <w:b/>
                <w:bCs/>
                <w:spacing w:val="-19"/>
                <w:highlight w:val="none"/>
              </w:rPr>
              <w:t>时间</w:t>
            </w:r>
          </w:p>
        </w:tc>
        <w:tc>
          <w:tcPr>
            <w:tcW w:w="1969" w:type="dxa"/>
            <w:vAlign w:val="top"/>
          </w:tcPr>
          <w:p w14:paraId="0932AF95">
            <w:pPr>
              <w:pStyle w:val="19"/>
              <w:spacing w:before="91" w:line="223" w:lineRule="auto"/>
              <w:ind w:left="767"/>
              <w:rPr>
                <w:highlight w:val="none"/>
              </w:rPr>
            </w:pPr>
            <w:r>
              <w:rPr>
                <w:b/>
                <w:bCs/>
                <w:spacing w:val="-11"/>
                <w:highlight w:val="none"/>
              </w:rPr>
              <w:t>事项</w:t>
            </w:r>
          </w:p>
        </w:tc>
        <w:tc>
          <w:tcPr>
            <w:tcW w:w="1550" w:type="dxa"/>
            <w:vAlign w:val="top"/>
          </w:tcPr>
          <w:p w14:paraId="148A6B5B">
            <w:pPr>
              <w:pStyle w:val="19"/>
              <w:spacing w:before="91" w:line="224" w:lineRule="auto"/>
              <w:ind w:left="321"/>
              <w:rPr>
                <w:highlight w:val="none"/>
              </w:rPr>
            </w:pPr>
            <w:r>
              <w:rPr>
                <w:b/>
                <w:bCs/>
                <w:spacing w:val="-10"/>
                <w:highlight w:val="none"/>
              </w:rPr>
              <w:t>参加人员</w:t>
            </w:r>
          </w:p>
        </w:tc>
        <w:tc>
          <w:tcPr>
            <w:tcW w:w="1493" w:type="dxa"/>
            <w:vAlign w:val="top"/>
          </w:tcPr>
          <w:p w14:paraId="71234FDC">
            <w:pPr>
              <w:pStyle w:val="19"/>
              <w:spacing w:before="91" w:line="224" w:lineRule="auto"/>
              <w:ind w:left="527"/>
              <w:rPr>
                <w:highlight w:val="none"/>
              </w:rPr>
            </w:pPr>
            <w:r>
              <w:rPr>
                <w:b/>
                <w:bCs/>
                <w:spacing w:val="-11"/>
                <w:highlight w:val="none"/>
              </w:rPr>
              <w:t>地点</w:t>
            </w:r>
          </w:p>
        </w:tc>
        <w:tc>
          <w:tcPr>
            <w:tcW w:w="1034" w:type="dxa"/>
            <w:vAlign w:val="top"/>
          </w:tcPr>
          <w:p w14:paraId="13313CF8">
            <w:pPr>
              <w:pStyle w:val="19"/>
              <w:spacing w:before="91" w:line="224" w:lineRule="auto"/>
              <w:ind w:left="189"/>
              <w:rPr>
                <w:highlight w:val="none"/>
              </w:rPr>
            </w:pPr>
            <w:r>
              <w:rPr>
                <w:b/>
                <w:bCs/>
                <w:spacing w:val="-13"/>
                <w:highlight w:val="none"/>
              </w:rPr>
              <w:t>负责人</w:t>
            </w:r>
          </w:p>
        </w:tc>
      </w:tr>
      <w:tr w14:paraId="44C80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77" w:type="dxa"/>
            <w:vAlign w:val="top"/>
          </w:tcPr>
          <w:p w14:paraId="7319E61A">
            <w:pPr>
              <w:spacing w:before="132" w:line="220" w:lineRule="auto"/>
              <w:ind w:left="59"/>
              <w:rPr>
                <w:rFonts w:ascii="宋体" w:hAnsi="宋体" w:eastAsia="宋体" w:cs="宋体"/>
                <w:sz w:val="18"/>
                <w:szCs w:val="18"/>
                <w:highlight w:val="none"/>
              </w:rPr>
            </w:pPr>
            <w:r>
              <w:rPr>
                <w:rFonts w:hint="eastAsia" w:ascii="宋体" w:hAnsi="宋体" w:eastAsia="宋体" w:cs="宋体"/>
                <w:spacing w:val="-8"/>
                <w:sz w:val="18"/>
                <w:szCs w:val="18"/>
                <w:highlight w:val="none"/>
                <w:lang w:val="en-US" w:eastAsia="zh-CN"/>
              </w:rPr>
              <w:t>6</w:t>
            </w:r>
            <w:r>
              <w:rPr>
                <w:rFonts w:ascii="宋体" w:hAnsi="宋体" w:eastAsia="宋体" w:cs="宋体"/>
                <w:spacing w:val="-35"/>
                <w:sz w:val="18"/>
                <w:szCs w:val="18"/>
                <w:highlight w:val="none"/>
              </w:rPr>
              <w:t xml:space="preserve"> </w:t>
            </w:r>
            <w:r>
              <w:rPr>
                <w:rFonts w:ascii="宋体" w:hAnsi="宋体" w:eastAsia="宋体" w:cs="宋体"/>
                <w:spacing w:val="-8"/>
                <w:sz w:val="18"/>
                <w:szCs w:val="18"/>
                <w:highlight w:val="none"/>
              </w:rPr>
              <w:t>月</w:t>
            </w:r>
            <w:r>
              <w:rPr>
                <w:rFonts w:ascii="宋体" w:hAnsi="宋体" w:eastAsia="宋体" w:cs="宋体"/>
                <w:spacing w:val="-35"/>
                <w:sz w:val="18"/>
                <w:szCs w:val="18"/>
                <w:highlight w:val="none"/>
              </w:rPr>
              <w:t xml:space="preserve"> </w:t>
            </w:r>
            <w:r>
              <w:rPr>
                <w:rFonts w:ascii="宋体" w:hAnsi="宋体" w:eastAsia="宋体" w:cs="宋体"/>
                <w:spacing w:val="-8"/>
                <w:sz w:val="18"/>
                <w:szCs w:val="18"/>
                <w:highlight w:val="none"/>
              </w:rPr>
              <w:t>2</w:t>
            </w:r>
            <w:r>
              <w:rPr>
                <w:rFonts w:hint="eastAsia" w:ascii="宋体" w:hAnsi="宋体" w:eastAsia="宋体" w:cs="宋体"/>
                <w:spacing w:val="-8"/>
                <w:sz w:val="18"/>
                <w:szCs w:val="18"/>
                <w:highlight w:val="none"/>
                <w:lang w:val="en-US" w:eastAsia="zh-CN"/>
              </w:rPr>
              <w:t>8</w:t>
            </w:r>
            <w:r>
              <w:rPr>
                <w:rFonts w:ascii="宋体" w:hAnsi="宋体" w:eastAsia="宋体" w:cs="宋体"/>
                <w:spacing w:val="-8"/>
                <w:sz w:val="18"/>
                <w:szCs w:val="18"/>
                <w:highlight w:val="none"/>
              </w:rPr>
              <w:t>日</w:t>
            </w:r>
          </w:p>
        </w:tc>
        <w:tc>
          <w:tcPr>
            <w:tcW w:w="1515" w:type="dxa"/>
            <w:vAlign w:val="top"/>
          </w:tcPr>
          <w:p w14:paraId="37038150">
            <w:pPr>
              <w:pStyle w:val="19"/>
              <w:spacing w:before="83"/>
              <w:ind w:left="72"/>
              <w:rPr>
                <w:highlight w:val="none"/>
              </w:rPr>
            </w:pPr>
            <w:r>
              <w:rPr>
                <w:spacing w:val="-11"/>
                <w:highlight w:val="none"/>
              </w:rPr>
              <w:t>15:00～</w:t>
            </w:r>
            <w:r>
              <w:rPr>
                <w:spacing w:val="-36"/>
                <w:highlight w:val="none"/>
              </w:rPr>
              <w:t xml:space="preserve"> </w:t>
            </w:r>
            <w:r>
              <w:rPr>
                <w:spacing w:val="-11"/>
                <w:highlight w:val="none"/>
              </w:rPr>
              <w:t>16:00</w:t>
            </w:r>
          </w:p>
        </w:tc>
        <w:tc>
          <w:tcPr>
            <w:tcW w:w="1969" w:type="dxa"/>
            <w:vAlign w:val="top"/>
          </w:tcPr>
          <w:p w14:paraId="28B65EE0">
            <w:pPr>
              <w:pStyle w:val="19"/>
              <w:spacing w:before="83" w:line="223" w:lineRule="auto"/>
              <w:ind w:left="538"/>
              <w:rPr>
                <w:highlight w:val="none"/>
              </w:rPr>
            </w:pPr>
            <w:r>
              <w:rPr>
                <w:spacing w:val="-10"/>
                <w:highlight w:val="none"/>
              </w:rPr>
              <w:t>熟悉赛场</w:t>
            </w:r>
          </w:p>
        </w:tc>
        <w:tc>
          <w:tcPr>
            <w:tcW w:w="1550" w:type="dxa"/>
            <w:vAlign w:val="top"/>
          </w:tcPr>
          <w:p w14:paraId="105A09B7">
            <w:pPr>
              <w:pStyle w:val="19"/>
              <w:spacing w:before="83" w:line="223" w:lineRule="auto"/>
              <w:ind w:left="315"/>
              <w:rPr>
                <w:highlight w:val="none"/>
              </w:rPr>
            </w:pPr>
            <w:r>
              <w:rPr>
                <w:spacing w:val="-7"/>
                <w:highlight w:val="none"/>
              </w:rPr>
              <w:t>各参赛队</w:t>
            </w:r>
          </w:p>
        </w:tc>
        <w:tc>
          <w:tcPr>
            <w:tcW w:w="1493" w:type="dxa"/>
            <w:vAlign w:val="top"/>
          </w:tcPr>
          <w:p w14:paraId="1E95EB93">
            <w:pPr>
              <w:pStyle w:val="19"/>
              <w:spacing w:before="116" w:line="223" w:lineRule="auto"/>
              <w:jc w:val="center"/>
              <w:rPr>
                <w:spacing w:val="-7"/>
                <w:highlight w:val="none"/>
              </w:rPr>
            </w:pPr>
            <w:r>
              <w:rPr>
                <w:spacing w:val="-7"/>
                <w:highlight w:val="none"/>
              </w:rPr>
              <w:t>博汇楼 618</w:t>
            </w:r>
          </w:p>
        </w:tc>
        <w:tc>
          <w:tcPr>
            <w:tcW w:w="1034" w:type="dxa"/>
            <w:vAlign w:val="top"/>
          </w:tcPr>
          <w:p w14:paraId="768815D4">
            <w:pPr>
              <w:pStyle w:val="19"/>
              <w:spacing w:before="83" w:line="223" w:lineRule="auto"/>
              <w:ind w:left="173"/>
              <w:rPr>
                <w:highlight w:val="none"/>
              </w:rPr>
            </w:pPr>
            <w:r>
              <w:rPr>
                <w:spacing w:val="-7"/>
                <w:highlight w:val="none"/>
              </w:rPr>
              <w:t>赛务组</w:t>
            </w:r>
          </w:p>
        </w:tc>
      </w:tr>
      <w:tr w14:paraId="1034E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77" w:type="dxa"/>
            <w:vMerge w:val="restart"/>
            <w:vAlign w:val="top"/>
          </w:tcPr>
          <w:p w14:paraId="4C41A944">
            <w:pPr>
              <w:spacing w:line="259" w:lineRule="auto"/>
              <w:rPr>
                <w:rFonts w:ascii="Arial"/>
                <w:sz w:val="21"/>
                <w:highlight w:val="none"/>
              </w:rPr>
            </w:pPr>
          </w:p>
          <w:p w14:paraId="19069A1E">
            <w:pPr>
              <w:spacing w:line="259" w:lineRule="auto"/>
              <w:rPr>
                <w:rFonts w:ascii="Arial"/>
                <w:sz w:val="21"/>
                <w:highlight w:val="none"/>
              </w:rPr>
            </w:pPr>
          </w:p>
          <w:p w14:paraId="7DBC444E">
            <w:pPr>
              <w:spacing w:line="259" w:lineRule="auto"/>
              <w:rPr>
                <w:rFonts w:ascii="Arial"/>
                <w:sz w:val="21"/>
                <w:highlight w:val="none"/>
              </w:rPr>
            </w:pPr>
          </w:p>
          <w:p w14:paraId="2F491967">
            <w:pPr>
              <w:spacing w:line="260" w:lineRule="auto"/>
              <w:rPr>
                <w:rFonts w:ascii="Arial"/>
                <w:sz w:val="21"/>
                <w:highlight w:val="none"/>
              </w:rPr>
            </w:pPr>
          </w:p>
          <w:p w14:paraId="7854E51F">
            <w:pPr>
              <w:spacing w:line="260" w:lineRule="auto"/>
              <w:rPr>
                <w:rFonts w:ascii="Arial"/>
                <w:sz w:val="21"/>
                <w:highlight w:val="none"/>
              </w:rPr>
            </w:pPr>
          </w:p>
          <w:p w14:paraId="1A587027">
            <w:pPr>
              <w:spacing w:line="260" w:lineRule="auto"/>
              <w:rPr>
                <w:rFonts w:ascii="Arial"/>
                <w:sz w:val="21"/>
                <w:highlight w:val="none"/>
              </w:rPr>
            </w:pPr>
          </w:p>
          <w:p w14:paraId="7447F1B8">
            <w:pPr>
              <w:spacing w:line="260" w:lineRule="auto"/>
              <w:rPr>
                <w:rFonts w:ascii="Arial"/>
                <w:sz w:val="21"/>
                <w:highlight w:val="none"/>
              </w:rPr>
            </w:pPr>
          </w:p>
          <w:p w14:paraId="2E1933E7">
            <w:pPr>
              <w:spacing w:before="59" w:line="220" w:lineRule="auto"/>
              <w:ind w:left="59"/>
              <w:rPr>
                <w:rFonts w:ascii="宋体" w:hAnsi="宋体" w:eastAsia="宋体" w:cs="宋体"/>
                <w:sz w:val="18"/>
                <w:szCs w:val="18"/>
                <w:highlight w:val="none"/>
              </w:rPr>
            </w:pPr>
            <w:r>
              <w:rPr>
                <w:rFonts w:hint="eastAsia" w:ascii="宋体" w:hAnsi="宋体" w:eastAsia="宋体" w:cs="宋体"/>
                <w:spacing w:val="-9"/>
                <w:sz w:val="18"/>
                <w:szCs w:val="18"/>
                <w:highlight w:val="none"/>
                <w:lang w:val="en-US" w:eastAsia="zh-CN"/>
              </w:rPr>
              <w:t>6</w:t>
            </w:r>
            <w:r>
              <w:rPr>
                <w:rFonts w:ascii="宋体" w:hAnsi="宋体" w:eastAsia="宋体" w:cs="宋体"/>
                <w:spacing w:val="-9"/>
                <w:sz w:val="18"/>
                <w:szCs w:val="18"/>
                <w:highlight w:val="none"/>
              </w:rPr>
              <w:t>月</w:t>
            </w:r>
            <w:r>
              <w:rPr>
                <w:rFonts w:hint="eastAsia" w:ascii="宋体" w:hAnsi="宋体" w:eastAsia="宋体" w:cs="宋体"/>
                <w:spacing w:val="-9"/>
                <w:sz w:val="18"/>
                <w:szCs w:val="18"/>
                <w:highlight w:val="none"/>
                <w:lang w:val="en-US" w:eastAsia="zh-CN"/>
              </w:rPr>
              <w:t>29</w:t>
            </w:r>
            <w:r>
              <w:rPr>
                <w:rFonts w:ascii="宋体" w:hAnsi="宋体" w:eastAsia="宋体" w:cs="宋体"/>
                <w:spacing w:val="-9"/>
                <w:sz w:val="18"/>
                <w:szCs w:val="18"/>
                <w:highlight w:val="none"/>
              </w:rPr>
              <w:t>日</w:t>
            </w:r>
          </w:p>
        </w:tc>
        <w:tc>
          <w:tcPr>
            <w:tcW w:w="1515" w:type="dxa"/>
            <w:vAlign w:val="top"/>
          </w:tcPr>
          <w:p w14:paraId="7FA9590F">
            <w:pPr>
              <w:pStyle w:val="19"/>
              <w:spacing w:before="84"/>
              <w:ind w:left="173"/>
              <w:rPr>
                <w:highlight w:val="none"/>
              </w:rPr>
            </w:pPr>
            <w:r>
              <w:rPr>
                <w:rFonts w:hint="eastAsia"/>
                <w:spacing w:val="-11"/>
                <w:highlight w:val="none"/>
                <w:lang w:val="en-US" w:eastAsia="zh-CN"/>
              </w:rPr>
              <w:t>7</w:t>
            </w:r>
            <w:r>
              <w:rPr>
                <w:spacing w:val="-11"/>
                <w:highlight w:val="none"/>
              </w:rPr>
              <w:t>:00～</w:t>
            </w:r>
            <w:r>
              <w:rPr>
                <w:spacing w:val="-34"/>
                <w:highlight w:val="none"/>
              </w:rPr>
              <w:t xml:space="preserve"> </w:t>
            </w:r>
            <w:r>
              <w:rPr>
                <w:rFonts w:hint="eastAsia"/>
                <w:spacing w:val="-11"/>
                <w:highlight w:val="none"/>
                <w:lang w:val="en-US" w:eastAsia="zh-CN"/>
              </w:rPr>
              <w:t>7</w:t>
            </w:r>
            <w:r>
              <w:rPr>
                <w:spacing w:val="-11"/>
                <w:highlight w:val="none"/>
              </w:rPr>
              <w:t>:30</w:t>
            </w:r>
          </w:p>
        </w:tc>
        <w:tc>
          <w:tcPr>
            <w:tcW w:w="1969" w:type="dxa"/>
            <w:vAlign w:val="top"/>
          </w:tcPr>
          <w:p w14:paraId="0A9241E7">
            <w:pPr>
              <w:pStyle w:val="19"/>
              <w:spacing w:before="84" w:line="222" w:lineRule="auto"/>
              <w:ind w:left="757"/>
              <w:rPr>
                <w:highlight w:val="none"/>
              </w:rPr>
            </w:pPr>
            <w:r>
              <w:rPr>
                <w:spacing w:val="-8"/>
                <w:highlight w:val="none"/>
              </w:rPr>
              <w:t>报到</w:t>
            </w:r>
          </w:p>
        </w:tc>
        <w:tc>
          <w:tcPr>
            <w:tcW w:w="1550" w:type="dxa"/>
            <w:vAlign w:val="top"/>
          </w:tcPr>
          <w:p w14:paraId="62806312">
            <w:pPr>
              <w:pStyle w:val="19"/>
              <w:spacing w:before="83" w:line="223" w:lineRule="auto"/>
              <w:ind w:left="315"/>
              <w:rPr>
                <w:highlight w:val="none"/>
              </w:rPr>
            </w:pPr>
            <w:r>
              <w:rPr>
                <w:spacing w:val="-7"/>
                <w:highlight w:val="none"/>
              </w:rPr>
              <w:t>各参赛队</w:t>
            </w:r>
          </w:p>
        </w:tc>
        <w:tc>
          <w:tcPr>
            <w:tcW w:w="1493" w:type="dxa"/>
            <w:vAlign w:val="top"/>
          </w:tcPr>
          <w:p w14:paraId="7A51DD7F">
            <w:pPr>
              <w:pStyle w:val="19"/>
              <w:spacing w:before="116" w:line="223" w:lineRule="auto"/>
              <w:jc w:val="center"/>
              <w:rPr>
                <w:spacing w:val="-7"/>
                <w:highlight w:val="none"/>
              </w:rPr>
            </w:pPr>
            <w:r>
              <w:rPr>
                <w:spacing w:val="-7"/>
                <w:highlight w:val="none"/>
              </w:rPr>
              <w:t>博汇楼 212</w:t>
            </w:r>
          </w:p>
        </w:tc>
        <w:tc>
          <w:tcPr>
            <w:tcW w:w="1034" w:type="dxa"/>
            <w:vAlign w:val="top"/>
          </w:tcPr>
          <w:p w14:paraId="3CF056F8">
            <w:pPr>
              <w:pStyle w:val="19"/>
              <w:spacing w:before="83" w:line="223" w:lineRule="auto"/>
              <w:ind w:left="173"/>
              <w:rPr>
                <w:highlight w:val="none"/>
              </w:rPr>
            </w:pPr>
            <w:r>
              <w:rPr>
                <w:spacing w:val="-7"/>
                <w:highlight w:val="none"/>
              </w:rPr>
              <w:t>赛务组</w:t>
            </w:r>
          </w:p>
        </w:tc>
      </w:tr>
      <w:tr w14:paraId="1FA5C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777" w:type="dxa"/>
            <w:vMerge w:val="continue"/>
            <w:vAlign w:val="top"/>
          </w:tcPr>
          <w:p w14:paraId="3BED9C10">
            <w:pPr>
              <w:rPr>
                <w:rFonts w:ascii="Arial"/>
                <w:sz w:val="21"/>
                <w:highlight w:val="none"/>
              </w:rPr>
            </w:pPr>
          </w:p>
        </w:tc>
        <w:tc>
          <w:tcPr>
            <w:tcW w:w="1515" w:type="dxa"/>
            <w:vAlign w:val="top"/>
          </w:tcPr>
          <w:p w14:paraId="4FAACA8A">
            <w:pPr>
              <w:pStyle w:val="19"/>
              <w:spacing w:before="95"/>
              <w:ind w:left="173"/>
              <w:rPr>
                <w:b/>
                <w:bCs/>
                <w:highlight w:val="none"/>
              </w:rPr>
            </w:pPr>
            <w:r>
              <w:rPr>
                <w:rFonts w:hint="eastAsia"/>
                <w:b/>
                <w:bCs/>
                <w:spacing w:val="-11"/>
                <w:highlight w:val="none"/>
                <w:lang w:val="en-US" w:eastAsia="zh-CN"/>
              </w:rPr>
              <w:t>7</w:t>
            </w:r>
            <w:r>
              <w:rPr>
                <w:b/>
                <w:bCs/>
                <w:spacing w:val="-11"/>
                <w:highlight w:val="none"/>
              </w:rPr>
              <w:t>:30～</w:t>
            </w:r>
            <w:r>
              <w:rPr>
                <w:b/>
                <w:bCs/>
                <w:spacing w:val="-34"/>
                <w:highlight w:val="none"/>
              </w:rPr>
              <w:t xml:space="preserve"> </w:t>
            </w:r>
            <w:r>
              <w:rPr>
                <w:rFonts w:hint="eastAsia"/>
                <w:b/>
                <w:bCs/>
                <w:spacing w:val="-11"/>
                <w:highlight w:val="none"/>
                <w:lang w:val="en-US" w:eastAsia="zh-CN"/>
              </w:rPr>
              <w:t>7</w:t>
            </w:r>
            <w:r>
              <w:rPr>
                <w:b/>
                <w:bCs/>
                <w:spacing w:val="-11"/>
                <w:highlight w:val="none"/>
              </w:rPr>
              <w:t>:40</w:t>
            </w:r>
          </w:p>
        </w:tc>
        <w:tc>
          <w:tcPr>
            <w:tcW w:w="1969" w:type="dxa"/>
            <w:vAlign w:val="top"/>
          </w:tcPr>
          <w:p w14:paraId="11924EF3">
            <w:pPr>
              <w:pStyle w:val="19"/>
              <w:spacing w:before="95" w:line="222" w:lineRule="auto"/>
              <w:ind w:left="182"/>
              <w:rPr>
                <w:b/>
                <w:bCs/>
                <w:highlight w:val="none"/>
              </w:rPr>
            </w:pPr>
            <w:r>
              <w:rPr>
                <w:b/>
                <w:bCs/>
                <w:spacing w:val="-7"/>
                <w:highlight w:val="none"/>
              </w:rPr>
              <w:t>第一次抽签加密</w:t>
            </w:r>
          </w:p>
        </w:tc>
        <w:tc>
          <w:tcPr>
            <w:tcW w:w="1550" w:type="dxa"/>
            <w:vAlign w:val="top"/>
          </w:tcPr>
          <w:p w14:paraId="032EFD26">
            <w:pPr>
              <w:pStyle w:val="19"/>
              <w:spacing w:before="94" w:line="223" w:lineRule="auto"/>
              <w:ind w:left="321"/>
              <w:rPr>
                <w:b/>
                <w:bCs/>
                <w:highlight w:val="none"/>
              </w:rPr>
            </w:pPr>
            <w:r>
              <w:rPr>
                <w:b/>
                <w:bCs/>
                <w:spacing w:val="-7"/>
                <w:highlight w:val="none"/>
              </w:rPr>
              <w:t>参赛选手</w:t>
            </w:r>
          </w:p>
        </w:tc>
        <w:tc>
          <w:tcPr>
            <w:tcW w:w="1493" w:type="dxa"/>
            <w:vAlign w:val="top"/>
          </w:tcPr>
          <w:p w14:paraId="626ADA87">
            <w:pPr>
              <w:pStyle w:val="19"/>
              <w:spacing w:before="116" w:line="223" w:lineRule="auto"/>
              <w:jc w:val="center"/>
              <w:rPr>
                <w:rFonts w:hint="default"/>
                <w:b/>
                <w:bCs/>
                <w:spacing w:val="-7"/>
                <w:highlight w:val="none"/>
                <w:lang w:val="en-US" w:eastAsia="zh-CN"/>
              </w:rPr>
            </w:pPr>
            <w:r>
              <w:rPr>
                <w:b/>
                <w:bCs/>
                <w:spacing w:val="-7"/>
                <w:highlight w:val="none"/>
              </w:rPr>
              <w:t>博汇楼</w:t>
            </w:r>
            <w:r>
              <w:rPr>
                <w:rFonts w:hint="eastAsia"/>
                <w:b/>
                <w:bCs/>
                <w:spacing w:val="-7"/>
                <w:highlight w:val="none"/>
                <w:lang w:val="en-US" w:eastAsia="zh-CN"/>
              </w:rPr>
              <w:t>212</w:t>
            </w:r>
          </w:p>
        </w:tc>
        <w:tc>
          <w:tcPr>
            <w:tcW w:w="1034" w:type="dxa"/>
            <w:vAlign w:val="top"/>
          </w:tcPr>
          <w:p w14:paraId="0D53FBA3">
            <w:pPr>
              <w:pStyle w:val="19"/>
              <w:spacing w:before="94" w:line="224" w:lineRule="auto"/>
              <w:ind w:left="182"/>
              <w:rPr>
                <w:b/>
                <w:bCs/>
                <w:highlight w:val="none"/>
              </w:rPr>
            </w:pPr>
            <w:r>
              <w:rPr>
                <w:b/>
                <w:bCs/>
                <w:spacing w:val="-9"/>
                <w:highlight w:val="none"/>
              </w:rPr>
              <w:t>裁判组</w:t>
            </w:r>
          </w:p>
        </w:tc>
      </w:tr>
      <w:tr w14:paraId="0A36C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777" w:type="dxa"/>
            <w:vMerge w:val="continue"/>
            <w:vAlign w:val="top"/>
          </w:tcPr>
          <w:p w14:paraId="363DF58B">
            <w:pPr>
              <w:rPr>
                <w:rFonts w:ascii="Arial"/>
                <w:sz w:val="21"/>
                <w:highlight w:val="none"/>
              </w:rPr>
            </w:pPr>
          </w:p>
        </w:tc>
        <w:tc>
          <w:tcPr>
            <w:tcW w:w="1515" w:type="dxa"/>
            <w:vAlign w:val="top"/>
          </w:tcPr>
          <w:p w14:paraId="623C7766">
            <w:pPr>
              <w:pStyle w:val="19"/>
              <w:spacing w:before="116"/>
              <w:ind w:left="173"/>
              <w:rPr>
                <w:b/>
                <w:bCs/>
                <w:highlight w:val="none"/>
              </w:rPr>
            </w:pPr>
            <w:r>
              <w:rPr>
                <w:rFonts w:hint="eastAsia"/>
                <w:b/>
                <w:bCs/>
                <w:spacing w:val="-11"/>
                <w:highlight w:val="none"/>
                <w:lang w:val="en-US" w:eastAsia="zh-CN"/>
              </w:rPr>
              <w:t>7</w:t>
            </w:r>
            <w:r>
              <w:rPr>
                <w:b/>
                <w:bCs/>
                <w:spacing w:val="-11"/>
                <w:highlight w:val="none"/>
              </w:rPr>
              <w:t>:40～</w:t>
            </w:r>
            <w:r>
              <w:rPr>
                <w:b/>
                <w:bCs/>
                <w:spacing w:val="-34"/>
                <w:highlight w:val="none"/>
              </w:rPr>
              <w:t xml:space="preserve"> </w:t>
            </w:r>
            <w:r>
              <w:rPr>
                <w:rFonts w:hint="eastAsia"/>
                <w:b/>
                <w:bCs/>
                <w:spacing w:val="-11"/>
                <w:highlight w:val="none"/>
                <w:lang w:val="en-US" w:eastAsia="zh-CN"/>
              </w:rPr>
              <w:t>7</w:t>
            </w:r>
            <w:r>
              <w:rPr>
                <w:b/>
                <w:bCs/>
                <w:spacing w:val="-11"/>
                <w:highlight w:val="none"/>
              </w:rPr>
              <w:t>:50</w:t>
            </w:r>
          </w:p>
        </w:tc>
        <w:tc>
          <w:tcPr>
            <w:tcW w:w="1969" w:type="dxa"/>
            <w:vAlign w:val="top"/>
          </w:tcPr>
          <w:p w14:paraId="7FF8D485">
            <w:pPr>
              <w:pStyle w:val="19"/>
              <w:spacing w:before="116" w:line="222" w:lineRule="auto"/>
              <w:ind w:left="182"/>
              <w:rPr>
                <w:b/>
                <w:bCs/>
                <w:highlight w:val="none"/>
              </w:rPr>
            </w:pPr>
            <w:r>
              <w:rPr>
                <w:b/>
                <w:bCs/>
                <w:spacing w:val="-7"/>
                <w:highlight w:val="none"/>
              </w:rPr>
              <w:t>第二次抽签加密</w:t>
            </w:r>
          </w:p>
        </w:tc>
        <w:tc>
          <w:tcPr>
            <w:tcW w:w="1550" w:type="dxa"/>
            <w:vAlign w:val="top"/>
          </w:tcPr>
          <w:p w14:paraId="7F31FB22">
            <w:pPr>
              <w:pStyle w:val="19"/>
              <w:spacing w:before="116" w:line="223" w:lineRule="auto"/>
              <w:ind w:left="321"/>
              <w:rPr>
                <w:b/>
                <w:bCs/>
                <w:highlight w:val="none"/>
              </w:rPr>
            </w:pPr>
            <w:r>
              <w:rPr>
                <w:b/>
                <w:bCs/>
                <w:spacing w:val="-7"/>
                <w:highlight w:val="none"/>
              </w:rPr>
              <w:t>参赛选手</w:t>
            </w:r>
          </w:p>
        </w:tc>
        <w:tc>
          <w:tcPr>
            <w:tcW w:w="1493" w:type="dxa"/>
            <w:vAlign w:val="top"/>
          </w:tcPr>
          <w:p w14:paraId="5C4D02AD">
            <w:pPr>
              <w:pStyle w:val="19"/>
              <w:spacing w:before="116" w:line="223" w:lineRule="auto"/>
              <w:jc w:val="center"/>
              <w:rPr>
                <w:rFonts w:hint="eastAsia"/>
                <w:b/>
                <w:bCs/>
                <w:spacing w:val="-7"/>
                <w:highlight w:val="none"/>
                <w:lang w:eastAsia="zh-CN"/>
              </w:rPr>
            </w:pPr>
            <w:r>
              <w:rPr>
                <w:b/>
                <w:bCs/>
                <w:spacing w:val="-7"/>
                <w:highlight w:val="none"/>
              </w:rPr>
              <w:t>博汇楼 61</w:t>
            </w:r>
            <w:r>
              <w:rPr>
                <w:rFonts w:hint="eastAsia"/>
                <w:b/>
                <w:bCs/>
                <w:spacing w:val="-7"/>
                <w:highlight w:val="none"/>
                <w:lang w:val="en-US" w:eastAsia="zh-CN"/>
              </w:rPr>
              <w:t>7</w:t>
            </w:r>
          </w:p>
        </w:tc>
        <w:tc>
          <w:tcPr>
            <w:tcW w:w="1034" w:type="dxa"/>
            <w:vAlign w:val="top"/>
          </w:tcPr>
          <w:p w14:paraId="759C2CEE">
            <w:pPr>
              <w:pStyle w:val="19"/>
              <w:spacing w:before="115" w:line="224" w:lineRule="auto"/>
              <w:ind w:left="182"/>
              <w:rPr>
                <w:b/>
                <w:bCs/>
                <w:highlight w:val="none"/>
              </w:rPr>
            </w:pPr>
            <w:r>
              <w:rPr>
                <w:b/>
                <w:bCs/>
                <w:spacing w:val="-9"/>
                <w:highlight w:val="none"/>
              </w:rPr>
              <w:t>裁判组</w:t>
            </w:r>
          </w:p>
        </w:tc>
      </w:tr>
      <w:tr w14:paraId="2C310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777" w:type="dxa"/>
            <w:vMerge w:val="continue"/>
            <w:vAlign w:val="top"/>
          </w:tcPr>
          <w:p w14:paraId="66A7AF36">
            <w:pPr>
              <w:rPr>
                <w:rFonts w:ascii="Arial"/>
                <w:sz w:val="21"/>
                <w:highlight w:val="none"/>
              </w:rPr>
            </w:pPr>
          </w:p>
        </w:tc>
        <w:tc>
          <w:tcPr>
            <w:tcW w:w="1515" w:type="dxa"/>
            <w:vAlign w:val="top"/>
          </w:tcPr>
          <w:p w14:paraId="019FB5E0">
            <w:pPr>
              <w:pStyle w:val="19"/>
              <w:spacing w:before="88"/>
              <w:ind w:left="113"/>
              <w:rPr>
                <w:highlight w:val="none"/>
              </w:rPr>
            </w:pPr>
            <w:r>
              <w:rPr>
                <w:rFonts w:hint="eastAsia"/>
                <w:spacing w:val="-10"/>
                <w:highlight w:val="none"/>
                <w:lang w:val="en-US" w:eastAsia="zh-CN"/>
              </w:rPr>
              <w:t>8</w:t>
            </w:r>
            <w:r>
              <w:rPr>
                <w:spacing w:val="-10"/>
                <w:highlight w:val="none"/>
              </w:rPr>
              <w:t>:00～</w:t>
            </w:r>
            <w:r>
              <w:rPr>
                <w:spacing w:val="-31"/>
                <w:highlight w:val="none"/>
              </w:rPr>
              <w:t xml:space="preserve"> </w:t>
            </w:r>
            <w:r>
              <w:rPr>
                <w:spacing w:val="-10"/>
                <w:highlight w:val="none"/>
              </w:rPr>
              <w:t>1</w:t>
            </w:r>
            <w:r>
              <w:rPr>
                <w:rFonts w:hint="eastAsia"/>
                <w:spacing w:val="-10"/>
                <w:highlight w:val="none"/>
                <w:lang w:val="en-US" w:eastAsia="zh-CN"/>
              </w:rPr>
              <w:t>0</w:t>
            </w:r>
            <w:r>
              <w:rPr>
                <w:spacing w:val="-10"/>
                <w:highlight w:val="none"/>
              </w:rPr>
              <w:t>:00</w:t>
            </w:r>
          </w:p>
        </w:tc>
        <w:tc>
          <w:tcPr>
            <w:tcW w:w="1969" w:type="dxa"/>
            <w:vAlign w:val="top"/>
          </w:tcPr>
          <w:p w14:paraId="527D9B89">
            <w:pPr>
              <w:pStyle w:val="19"/>
              <w:spacing w:before="88" w:line="222" w:lineRule="auto"/>
              <w:ind w:left="527"/>
              <w:rPr>
                <w:highlight w:val="none"/>
              </w:rPr>
            </w:pPr>
            <w:r>
              <w:rPr>
                <w:rFonts w:hint="eastAsia"/>
                <w:spacing w:val="-7"/>
                <w:highlight w:val="none"/>
                <w:lang w:val="en-US" w:eastAsia="zh-CN"/>
              </w:rPr>
              <w:t>网络</w:t>
            </w:r>
            <w:r>
              <w:rPr>
                <w:spacing w:val="-7"/>
                <w:highlight w:val="none"/>
              </w:rPr>
              <w:t>营销</w:t>
            </w:r>
          </w:p>
        </w:tc>
        <w:tc>
          <w:tcPr>
            <w:tcW w:w="1550" w:type="dxa"/>
            <w:vAlign w:val="top"/>
          </w:tcPr>
          <w:p w14:paraId="37EF7777">
            <w:pPr>
              <w:pStyle w:val="19"/>
              <w:spacing w:before="87" w:line="223" w:lineRule="auto"/>
              <w:ind w:left="321"/>
              <w:rPr>
                <w:highlight w:val="none"/>
              </w:rPr>
            </w:pPr>
            <w:r>
              <w:rPr>
                <w:spacing w:val="-7"/>
                <w:highlight w:val="none"/>
              </w:rPr>
              <w:t>参赛选手</w:t>
            </w:r>
          </w:p>
        </w:tc>
        <w:tc>
          <w:tcPr>
            <w:tcW w:w="1493" w:type="dxa"/>
            <w:vAlign w:val="top"/>
          </w:tcPr>
          <w:p w14:paraId="76257083">
            <w:pPr>
              <w:pStyle w:val="19"/>
              <w:spacing w:before="116" w:line="223" w:lineRule="auto"/>
              <w:jc w:val="center"/>
              <w:rPr>
                <w:spacing w:val="-7"/>
                <w:highlight w:val="none"/>
              </w:rPr>
            </w:pPr>
            <w:r>
              <w:rPr>
                <w:spacing w:val="-7"/>
                <w:highlight w:val="none"/>
              </w:rPr>
              <w:t>博汇楼 618</w:t>
            </w:r>
          </w:p>
        </w:tc>
        <w:tc>
          <w:tcPr>
            <w:tcW w:w="1034" w:type="dxa"/>
            <w:vAlign w:val="top"/>
          </w:tcPr>
          <w:p w14:paraId="0C3815D8">
            <w:pPr>
              <w:pStyle w:val="19"/>
              <w:spacing w:before="87" w:line="224" w:lineRule="auto"/>
              <w:ind w:left="182"/>
              <w:rPr>
                <w:highlight w:val="none"/>
              </w:rPr>
            </w:pPr>
            <w:r>
              <w:rPr>
                <w:spacing w:val="-9"/>
                <w:highlight w:val="none"/>
              </w:rPr>
              <w:t>裁判组</w:t>
            </w:r>
          </w:p>
        </w:tc>
      </w:tr>
      <w:tr w14:paraId="7B518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77" w:type="dxa"/>
            <w:vMerge w:val="continue"/>
            <w:vAlign w:val="top"/>
          </w:tcPr>
          <w:p w14:paraId="653C0B60">
            <w:pPr>
              <w:rPr>
                <w:rFonts w:ascii="Arial"/>
                <w:sz w:val="21"/>
                <w:highlight w:val="none"/>
              </w:rPr>
            </w:pPr>
          </w:p>
        </w:tc>
        <w:tc>
          <w:tcPr>
            <w:tcW w:w="1515" w:type="dxa"/>
            <w:vAlign w:val="top"/>
          </w:tcPr>
          <w:p w14:paraId="0A790FBF">
            <w:pPr>
              <w:pStyle w:val="19"/>
              <w:spacing w:before="90"/>
              <w:ind w:left="72"/>
              <w:rPr>
                <w:highlight w:val="none"/>
              </w:rPr>
            </w:pPr>
            <w:r>
              <w:rPr>
                <w:spacing w:val="-11"/>
                <w:highlight w:val="none"/>
              </w:rPr>
              <w:t>1</w:t>
            </w:r>
            <w:r>
              <w:rPr>
                <w:rFonts w:hint="eastAsia"/>
                <w:spacing w:val="-11"/>
                <w:highlight w:val="none"/>
                <w:lang w:val="en-US" w:eastAsia="zh-CN"/>
              </w:rPr>
              <w:t>0</w:t>
            </w:r>
            <w:r>
              <w:rPr>
                <w:spacing w:val="-11"/>
                <w:highlight w:val="none"/>
              </w:rPr>
              <w:t>:</w:t>
            </w:r>
            <w:r>
              <w:rPr>
                <w:rFonts w:hint="eastAsia"/>
                <w:spacing w:val="-11"/>
                <w:highlight w:val="none"/>
                <w:lang w:val="en-US" w:eastAsia="zh-CN"/>
              </w:rPr>
              <w:t>10</w:t>
            </w:r>
            <w:r>
              <w:rPr>
                <w:spacing w:val="-11"/>
                <w:highlight w:val="none"/>
              </w:rPr>
              <w:t>～</w:t>
            </w:r>
            <w:r>
              <w:rPr>
                <w:spacing w:val="-34"/>
                <w:highlight w:val="none"/>
              </w:rPr>
              <w:t xml:space="preserve"> </w:t>
            </w:r>
            <w:r>
              <w:rPr>
                <w:spacing w:val="-11"/>
                <w:highlight w:val="none"/>
              </w:rPr>
              <w:t>1</w:t>
            </w:r>
            <w:r>
              <w:rPr>
                <w:rFonts w:hint="eastAsia"/>
                <w:spacing w:val="-11"/>
                <w:highlight w:val="none"/>
                <w:lang w:val="en-US" w:eastAsia="zh-CN"/>
              </w:rPr>
              <w:t>2</w:t>
            </w:r>
            <w:r>
              <w:rPr>
                <w:spacing w:val="-11"/>
                <w:highlight w:val="none"/>
              </w:rPr>
              <w:t>:</w:t>
            </w:r>
            <w:r>
              <w:rPr>
                <w:rFonts w:hint="eastAsia"/>
                <w:spacing w:val="-11"/>
                <w:highlight w:val="none"/>
                <w:lang w:val="en-US" w:eastAsia="zh-CN"/>
              </w:rPr>
              <w:t>1</w:t>
            </w:r>
            <w:r>
              <w:rPr>
                <w:spacing w:val="-11"/>
                <w:highlight w:val="none"/>
              </w:rPr>
              <w:t>0</w:t>
            </w:r>
          </w:p>
        </w:tc>
        <w:tc>
          <w:tcPr>
            <w:tcW w:w="1969" w:type="dxa"/>
            <w:vAlign w:val="top"/>
          </w:tcPr>
          <w:p w14:paraId="0816F498">
            <w:pPr>
              <w:pStyle w:val="19"/>
              <w:spacing w:before="89" w:line="223" w:lineRule="auto"/>
              <w:jc w:val="center"/>
              <w:rPr>
                <w:rFonts w:hint="default" w:eastAsia="仿宋"/>
                <w:highlight w:val="none"/>
                <w:lang w:val="en-US" w:eastAsia="zh-CN"/>
              </w:rPr>
            </w:pPr>
            <w:r>
              <w:rPr>
                <w:rFonts w:hint="eastAsia"/>
                <w:highlight w:val="none"/>
                <w:lang w:val="en-US" w:eastAsia="zh-CN"/>
              </w:rPr>
              <w:t>新媒体营销</w:t>
            </w:r>
          </w:p>
        </w:tc>
        <w:tc>
          <w:tcPr>
            <w:tcW w:w="1550" w:type="dxa"/>
            <w:vAlign w:val="top"/>
          </w:tcPr>
          <w:p w14:paraId="013ADF96">
            <w:pPr>
              <w:pStyle w:val="19"/>
              <w:spacing w:before="89" w:line="223" w:lineRule="auto"/>
              <w:ind w:left="321"/>
              <w:rPr>
                <w:highlight w:val="none"/>
              </w:rPr>
            </w:pPr>
            <w:r>
              <w:rPr>
                <w:spacing w:val="-7"/>
                <w:highlight w:val="none"/>
              </w:rPr>
              <w:t>参赛选手</w:t>
            </w:r>
          </w:p>
        </w:tc>
        <w:tc>
          <w:tcPr>
            <w:tcW w:w="1493" w:type="dxa"/>
            <w:vAlign w:val="top"/>
          </w:tcPr>
          <w:p w14:paraId="74D5BD4B">
            <w:pPr>
              <w:pStyle w:val="19"/>
              <w:spacing w:before="116" w:line="223" w:lineRule="auto"/>
              <w:jc w:val="center"/>
              <w:rPr>
                <w:spacing w:val="-7"/>
                <w:highlight w:val="none"/>
              </w:rPr>
            </w:pPr>
            <w:r>
              <w:rPr>
                <w:spacing w:val="-7"/>
                <w:highlight w:val="none"/>
              </w:rPr>
              <w:t>博汇楼 618</w:t>
            </w:r>
          </w:p>
        </w:tc>
        <w:tc>
          <w:tcPr>
            <w:tcW w:w="1034" w:type="dxa"/>
            <w:vAlign w:val="top"/>
          </w:tcPr>
          <w:p w14:paraId="4175A368">
            <w:pPr>
              <w:pStyle w:val="19"/>
              <w:spacing w:before="89" w:line="223" w:lineRule="auto"/>
              <w:ind w:left="178"/>
              <w:rPr>
                <w:highlight w:val="none"/>
              </w:rPr>
            </w:pPr>
            <w:r>
              <w:rPr>
                <w:spacing w:val="-9"/>
                <w:highlight w:val="none"/>
              </w:rPr>
              <w:t>裁判组</w:t>
            </w:r>
          </w:p>
        </w:tc>
      </w:tr>
      <w:tr w14:paraId="6C3B6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777" w:type="dxa"/>
            <w:vMerge w:val="continue"/>
            <w:vAlign w:val="top"/>
          </w:tcPr>
          <w:p w14:paraId="4E02B12F">
            <w:pPr>
              <w:rPr>
                <w:rFonts w:ascii="Arial"/>
                <w:sz w:val="21"/>
                <w:highlight w:val="none"/>
              </w:rPr>
            </w:pPr>
          </w:p>
        </w:tc>
        <w:tc>
          <w:tcPr>
            <w:tcW w:w="1515" w:type="dxa"/>
            <w:vAlign w:val="top"/>
          </w:tcPr>
          <w:p w14:paraId="00A40448">
            <w:pPr>
              <w:pStyle w:val="19"/>
              <w:spacing w:before="93"/>
              <w:ind w:left="72"/>
              <w:rPr>
                <w:rFonts w:hint="default" w:eastAsia="仿宋"/>
                <w:spacing w:val="-11"/>
                <w:highlight w:val="none"/>
                <w:lang w:val="en-US" w:eastAsia="zh-CN"/>
              </w:rPr>
            </w:pPr>
            <w:r>
              <w:rPr>
                <w:rFonts w:hint="eastAsia"/>
                <w:spacing w:val="-11"/>
                <w:highlight w:val="none"/>
                <w:lang w:val="en-US" w:eastAsia="zh-CN"/>
              </w:rPr>
              <w:t>13</w:t>
            </w:r>
            <w:r>
              <w:rPr>
                <w:spacing w:val="-11"/>
                <w:highlight w:val="none"/>
              </w:rPr>
              <w:t>:</w:t>
            </w:r>
            <w:r>
              <w:rPr>
                <w:rFonts w:hint="eastAsia"/>
                <w:spacing w:val="-11"/>
                <w:highlight w:val="none"/>
                <w:lang w:val="en-US" w:eastAsia="zh-CN"/>
              </w:rPr>
              <w:t>1</w:t>
            </w:r>
            <w:r>
              <w:rPr>
                <w:spacing w:val="-11"/>
                <w:highlight w:val="none"/>
              </w:rPr>
              <w:t>0～</w:t>
            </w:r>
            <w:r>
              <w:rPr>
                <w:rFonts w:hint="eastAsia"/>
                <w:spacing w:val="-11"/>
                <w:highlight w:val="none"/>
                <w:lang w:val="en-US" w:eastAsia="zh-CN"/>
              </w:rPr>
              <w:t>15</w:t>
            </w:r>
            <w:r>
              <w:rPr>
                <w:spacing w:val="-11"/>
                <w:highlight w:val="none"/>
              </w:rPr>
              <w:t>:</w:t>
            </w:r>
            <w:r>
              <w:rPr>
                <w:rFonts w:hint="eastAsia"/>
                <w:spacing w:val="-11"/>
                <w:highlight w:val="none"/>
                <w:lang w:val="en-US" w:eastAsia="zh-CN"/>
              </w:rPr>
              <w:t>0</w:t>
            </w:r>
            <w:r>
              <w:rPr>
                <w:spacing w:val="-11"/>
                <w:highlight w:val="none"/>
              </w:rPr>
              <w:t>0</w:t>
            </w:r>
          </w:p>
        </w:tc>
        <w:tc>
          <w:tcPr>
            <w:tcW w:w="1969" w:type="dxa"/>
            <w:vAlign w:val="top"/>
          </w:tcPr>
          <w:p w14:paraId="2DBDFA98">
            <w:pPr>
              <w:pStyle w:val="19"/>
              <w:spacing w:before="93" w:line="222" w:lineRule="auto"/>
              <w:ind w:left="286" w:firstLine="230" w:firstLineChars="100"/>
              <w:rPr>
                <w:rFonts w:hint="default" w:eastAsia="仿宋"/>
                <w:spacing w:val="-5"/>
                <w:highlight w:val="none"/>
                <w:lang w:val="en-US" w:eastAsia="zh-CN"/>
              </w:rPr>
            </w:pPr>
            <w:r>
              <w:rPr>
                <w:rFonts w:hint="eastAsia"/>
                <w:spacing w:val="-5"/>
                <w:highlight w:val="none"/>
                <w:lang w:val="en-US" w:eastAsia="zh-CN"/>
              </w:rPr>
              <w:t>成绩汇总</w:t>
            </w:r>
          </w:p>
        </w:tc>
        <w:tc>
          <w:tcPr>
            <w:tcW w:w="1550" w:type="dxa"/>
            <w:vAlign w:val="top"/>
          </w:tcPr>
          <w:p w14:paraId="151244B9">
            <w:pPr>
              <w:pStyle w:val="19"/>
              <w:spacing w:before="92" w:line="223" w:lineRule="auto"/>
              <w:ind w:left="321"/>
              <w:rPr>
                <w:rFonts w:hint="eastAsia" w:eastAsia="仿宋"/>
                <w:spacing w:val="-7"/>
                <w:highlight w:val="none"/>
                <w:lang w:val="en-US" w:eastAsia="zh-CN"/>
              </w:rPr>
            </w:pPr>
            <w:r>
              <w:rPr>
                <w:rFonts w:hint="eastAsia"/>
                <w:spacing w:val="-7"/>
                <w:highlight w:val="none"/>
                <w:lang w:val="en-US" w:eastAsia="zh-CN"/>
              </w:rPr>
              <w:t>裁判组</w:t>
            </w:r>
          </w:p>
        </w:tc>
        <w:tc>
          <w:tcPr>
            <w:tcW w:w="1493" w:type="dxa"/>
            <w:vAlign w:val="top"/>
          </w:tcPr>
          <w:p w14:paraId="6BB5E287">
            <w:pPr>
              <w:pStyle w:val="19"/>
              <w:spacing w:before="116" w:line="223" w:lineRule="auto"/>
              <w:jc w:val="center"/>
              <w:rPr>
                <w:rFonts w:hint="default" w:eastAsia="仿宋"/>
                <w:spacing w:val="-7"/>
                <w:highlight w:val="none"/>
                <w:lang w:val="en-US" w:eastAsia="zh-CN"/>
              </w:rPr>
            </w:pPr>
            <w:r>
              <w:rPr>
                <w:rFonts w:hint="eastAsia"/>
                <w:spacing w:val="-7"/>
                <w:highlight w:val="none"/>
                <w:lang w:val="en-US" w:eastAsia="zh-CN"/>
              </w:rPr>
              <w:t>博汇楼617</w:t>
            </w:r>
          </w:p>
        </w:tc>
        <w:tc>
          <w:tcPr>
            <w:tcW w:w="1034" w:type="dxa"/>
            <w:vAlign w:val="top"/>
          </w:tcPr>
          <w:p w14:paraId="03BF5930">
            <w:pPr>
              <w:pStyle w:val="19"/>
              <w:spacing w:before="92" w:line="224" w:lineRule="auto"/>
              <w:ind w:left="182"/>
              <w:rPr>
                <w:rFonts w:hint="eastAsia" w:eastAsia="仿宋"/>
                <w:spacing w:val="-9"/>
                <w:highlight w:val="none"/>
                <w:lang w:val="en-US" w:eastAsia="zh-CN"/>
              </w:rPr>
            </w:pPr>
            <w:r>
              <w:rPr>
                <w:rFonts w:hint="eastAsia"/>
                <w:spacing w:val="-9"/>
                <w:highlight w:val="none"/>
                <w:lang w:val="en-US" w:eastAsia="zh-CN"/>
              </w:rPr>
              <w:t>赛务组</w:t>
            </w:r>
          </w:p>
        </w:tc>
      </w:tr>
    </w:tbl>
    <w:p w14:paraId="02E27DBC">
      <w:pPr>
        <w:pStyle w:val="2"/>
      </w:pPr>
      <w:r>
        <w:rPr>
          <w:rFonts w:hint="eastAsia"/>
        </w:rPr>
        <w:t>五、竞赛规则</w:t>
      </w:r>
    </w:p>
    <w:p w14:paraId="79224D98">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选手报名：参赛选手报名获得确认后不得随意更换。如比赛前参赛选手因故无法参赛，须由参赛院校于开赛10个工作日之前出具书面说明，经大赛执委会办公室核实后予以更换；团体赛选手因特殊原因不能参加比赛时，由大赛执委会办公室根据赛项的特点决定是否可进行缺员比赛，并上报大赛执委会备案。如发现未经报备，实际参赛选手与报名信息不符的情况，均不得入场。</w:t>
      </w:r>
    </w:p>
    <w:p w14:paraId="2CBBE926">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（二）熟悉场地：比赛日前一天下午开放赛场，熟悉场地。</w:t>
      </w:r>
    </w:p>
    <w:p w14:paraId="453B9EBD">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（三）入场规则：选手入场时，逐个核查竞赛选手参赛号，对于选手携带的个人身份证件统一保管，对于违规物品立即收缴；实际参赛选手与报名信息不符的情况，不得入场。</w:t>
      </w:r>
    </w:p>
    <w:p w14:paraId="51A66B05">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（四）赛场规则：</w:t>
      </w:r>
    </w:p>
    <w:p w14:paraId="0A2B7FB2">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1.检录：由检录工作人员依照检录表进行点名核对。</w:t>
      </w:r>
    </w:p>
    <w:p w14:paraId="333BC19E">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2.加密：竞赛当日进行两次加密，分别由两组加密裁判组织实施加密工作，管理加密结果。监督仲裁员全程监督加密过程。</w:t>
      </w:r>
    </w:p>
    <w:p w14:paraId="0265C239">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3.引导：参赛选手凭赛位号进入赛场，现场裁判负责引导参赛选手至赛位前等待竞赛指令。</w:t>
      </w:r>
    </w:p>
    <w:p w14:paraId="29523222">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4.由裁判长宣布比赛开始，各参赛队开始竞赛。</w:t>
      </w:r>
    </w:p>
    <w:p w14:paraId="3D4D0FFE">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竞赛过程中，如遇设备故障，参赛选手应举手示意。裁判、技术人员等应及时予以解决。确因计算机软件或硬件故障，致使操作无法继续的，经裁判长同意，予以启用备用计算机。如遇身体不适，参赛选手应举手示意，现场医务人员按应急预案救治。如有其他问题，参赛选手应举手示意，裁判应按照有关要求及时予以答疑。</w:t>
      </w:r>
    </w:p>
    <w:p w14:paraId="135C4341">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6.离场规则：参赛选手比赛中途不得擅自离开赛场；竞赛内容完成后经裁判长同意可离开赛场。</w:t>
      </w:r>
    </w:p>
    <w:p w14:paraId="11140397">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7.成绩评定与结果公布：</w:t>
      </w:r>
    </w:p>
    <w:p w14:paraId="709EE963">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本赛项评分方法分为机考评分和结果评分，成绩评定过程中的所有评分材料须由相应评分裁判签字确认，更正成绩需经裁判本人、裁判长及监督仲裁组长在更正处签字。</w:t>
      </w:r>
    </w:p>
    <w:p w14:paraId="3287DD15">
      <w:pPr>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记分员将解密后的各参赛队伍（选手）成绩汇总成比赛成绩，经裁判长、监督仲裁组签字，公布比赛结果。</w:t>
      </w:r>
    </w:p>
    <w:p w14:paraId="6AE6DBDA">
      <w:pPr>
        <w:pStyle w:val="2"/>
        <w:rPr>
          <w:b w:val="0"/>
          <w:bCs/>
        </w:rPr>
      </w:pPr>
      <w:r>
        <w:rPr>
          <w:rFonts w:hint="eastAsia"/>
          <w:b w:val="0"/>
          <w:bCs/>
          <w:lang w:val="en-US" w:eastAsia="zh-CN"/>
        </w:rPr>
        <w:t>六</w:t>
      </w:r>
      <w:r>
        <w:rPr>
          <w:rFonts w:hint="eastAsia"/>
          <w:b w:val="0"/>
          <w:bCs/>
        </w:rPr>
        <w:t>、技术环境</w:t>
      </w:r>
    </w:p>
    <w:p w14:paraId="2E9AC99B">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（一）竞赛场地内设置满足所有参赛队伍同时竞赛的竞赛环境。</w:t>
      </w:r>
    </w:p>
    <w:p w14:paraId="2BF01F4F">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（二）赛场各赛位统一使用清晰的工位标识，一个参赛队一个机位，每个机位四台电脑，四把椅子。</w:t>
      </w:r>
    </w:p>
    <w:p w14:paraId="5C94B081">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（三）竞赛场地内设置背景板、宣传横幅及壁挂图，营造竞赛氛围。</w:t>
      </w:r>
    </w:p>
    <w:p w14:paraId="5298495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（四）局域网络。采用星形网络拓扑结构，安装千兆交换机，网线与电源线隐蔽铺设。</w:t>
      </w:r>
    </w:p>
    <w:p w14:paraId="4A70201A">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（五）利用UPS防止现场因突然断电导致的系统数据丢失，额定功率：3KVA，后备时间：2小时，电池类型：输出电压：230V±5%V。</w:t>
      </w:r>
    </w:p>
    <w:p w14:paraId="2D0B7313">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六</w:t>
      </w:r>
      <w:r>
        <w:rPr>
          <w:rFonts w:hint="eastAsia" w:ascii="仿宋_GB2312" w:hAnsi="仿宋_GB2312" w:eastAsia="仿宋_GB2312" w:cs="仿宋_GB2312"/>
          <w:sz w:val="28"/>
          <w:szCs w:val="28"/>
        </w:rPr>
        <w:t>）技术平台</w:t>
      </w:r>
    </w:p>
    <w:tbl>
      <w:tblPr>
        <w:tblStyle w:val="13"/>
        <w:tblW w:w="903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749"/>
        <w:gridCol w:w="6286"/>
      </w:tblGrid>
      <w:tr w14:paraId="513420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0" w:hRule="atLeast"/>
          <w:jc w:val="center"/>
        </w:trPr>
        <w:tc>
          <w:tcPr>
            <w:tcW w:w="2749" w:type="dxa"/>
            <w:noWrap w:val="0"/>
            <w:vAlign w:val="center"/>
          </w:tcPr>
          <w:p w14:paraId="7BDAAB8E">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品名</w:t>
            </w:r>
          </w:p>
        </w:tc>
        <w:tc>
          <w:tcPr>
            <w:tcW w:w="6286" w:type="dxa"/>
            <w:noWrap w:val="0"/>
            <w:vAlign w:val="center"/>
          </w:tcPr>
          <w:p w14:paraId="5902BB28">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规格要求说明</w:t>
            </w:r>
          </w:p>
        </w:tc>
      </w:tr>
      <w:tr w14:paraId="1DC2A8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2749" w:type="dxa"/>
            <w:noWrap w:val="0"/>
            <w:vAlign w:val="center"/>
          </w:tcPr>
          <w:p w14:paraId="05D06D15">
            <w:pPr>
              <w:spacing w:line="360" w:lineRule="auto"/>
              <w:ind w:right="210" w:rightChars="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参赛选手计算机</w:t>
            </w:r>
          </w:p>
        </w:tc>
        <w:tc>
          <w:tcPr>
            <w:tcW w:w="6286" w:type="dxa"/>
            <w:noWrap w:val="0"/>
            <w:vAlign w:val="top"/>
          </w:tcPr>
          <w:p w14:paraId="27A915B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配置要求：酷睿I5双核3.0以上CPU；8G以上内存；100G以上硬盘；2G显存以上独立显卡，千兆网卡。预装Windows7及以上操作系统；预装火狐、谷歌浏览器；预装录屏软件；预装全拼、简拼、微软拼音等中文输入法和英文输入法；</w:t>
            </w:r>
          </w:p>
        </w:tc>
      </w:tr>
      <w:tr w14:paraId="727D5D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2749" w:type="dxa"/>
            <w:noWrap w:val="0"/>
            <w:vAlign w:val="center"/>
          </w:tcPr>
          <w:p w14:paraId="34B49F2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现场布置</w:t>
            </w:r>
          </w:p>
        </w:tc>
        <w:tc>
          <w:tcPr>
            <w:tcW w:w="6286" w:type="dxa"/>
            <w:noWrap w:val="0"/>
            <w:vAlign w:val="center"/>
          </w:tcPr>
          <w:p w14:paraId="179D9771">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工位隔断、环境布置、桌椅等</w:t>
            </w:r>
          </w:p>
        </w:tc>
      </w:tr>
      <w:tr w14:paraId="040492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2749" w:type="dxa"/>
            <w:noWrap w:val="0"/>
            <w:vAlign w:val="center"/>
          </w:tcPr>
          <w:p w14:paraId="40DEE887">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网络连接设备</w:t>
            </w:r>
          </w:p>
        </w:tc>
        <w:tc>
          <w:tcPr>
            <w:tcW w:w="6286" w:type="dxa"/>
            <w:noWrap w:val="0"/>
            <w:vAlign w:val="center"/>
          </w:tcPr>
          <w:p w14:paraId="71F0AEC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提供网络布线、千兆交换机、无线路由器</w:t>
            </w:r>
          </w:p>
        </w:tc>
      </w:tr>
      <w:tr w14:paraId="14740B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4" w:hRule="atLeast"/>
          <w:jc w:val="center"/>
        </w:trPr>
        <w:tc>
          <w:tcPr>
            <w:tcW w:w="2749" w:type="dxa"/>
            <w:noWrap w:val="0"/>
            <w:vAlign w:val="center"/>
          </w:tcPr>
          <w:p w14:paraId="1E726607">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竞赛平台</w:t>
            </w:r>
          </w:p>
        </w:tc>
        <w:tc>
          <w:tcPr>
            <w:tcW w:w="6286" w:type="dxa"/>
            <w:noWrap w:val="0"/>
            <w:vAlign w:val="center"/>
          </w:tcPr>
          <w:p w14:paraId="3F5E7D92">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采用由中教畅享科技股份有限公司研发的网络营销实训系统、新媒体营销实训系统作为竞赛平台。</w:t>
            </w:r>
          </w:p>
        </w:tc>
      </w:tr>
    </w:tbl>
    <w:p w14:paraId="39087F27">
      <w:pPr>
        <w:pStyle w:val="2"/>
        <w:rPr>
          <w:b w:val="0"/>
          <w:bCs/>
        </w:rPr>
      </w:pPr>
      <w:r>
        <w:rPr>
          <w:rFonts w:hint="eastAsia"/>
          <w:b w:val="0"/>
          <w:bCs/>
          <w:lang w:val="en-US" w:eastAsia="zh-CN"/>
        </w:rPr>
        <w:t>七</w:t>
      </w:r>
      <w:r>
        <w:rPr>
          <w:rFonts w:hint="eastAsia"/>
          <w:b w:val="0"/>
          <w:bCs/>
        </w:rPr>
        <w:t>、竞赛样题</w:t>
      </w:r>
    </w:p>
    <w:p w14:paraId="1D4E61FB">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（一）网络营销</w:t>
      </w:r>
    </w:p>
    <w:p w14:paraId="7CAFDFFC">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任务一：目标受众分析定位</w:t>
      </w:r>
    </w:p>
    <w:p w14:paraId="2DB80627">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任务背景</w:t>
      </w:r>
    </w:p>
    <w:p w14:paraId="47F8D81E">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公司是一家创新型科技企业，其官网直营公司旗下所有产品，为了将品牌文化及产品理念有效地传递给目标受众，开拓更大的目标市场，公司市场部决定通过数字广告的方式对自家品牌与产品进行深入推广，周义是此次营销活动的主要负责人。根据自己的专业知识，周义清楚地知道在进行推广之前必须了解自己所推广的产品或服务对应的目标受众群体是哪些人，他们有哪些共同的特征、需求等。因此，周义决定从人群地域分布、人群属性分布、兴趣分布等方面对目标受众进行数据分析，计算目标受众的TGI值，掌握目标受众的基本特征。同时，从人群地域分布、人群属性分布、兴趣分布等方面对目标受众进行数据分析，从众多的个体行为中找到潜在用户的群体属性，以便更好地制定目标受众定向策略，更广泛地开拓目标市场。</w:t>
      </w:r>
    </w:p>
    <w:p w14:paraId="559E56E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任务要求</w:t>
      </w:r>
    </w:p>
    <w:p w14:paraId="0741B0C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1、根据企业主营业务和行业人群数据，分析全网人群及行业人群的地域分布、基础属性分布、兴趣分布情况。</w:t>
      </w:r>
    </w:p>
    <w:p w14:paraId="41E784DA">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2、根据全网及行业人群数据，计算TGI值，确定主要目标受众的基本特征。</w:t>
      </w:r>
    </w:p>
    <w:p w14:paraId="6E9B2DD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3、根据市场数据，结合企业背景，完成品牌目标受众基础属性及行为定向调研和分析；</w:t>
      </w:r>
    </w:p>
    <w:p w14:paraId="7D119397">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4、根据分析结果，结合营销推广目标，制定目标受众定向策略。</w:t>
      </w:r>
    </w:p>
    <w:p w14:paraId="63DACB13">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任务二：产品页或服务页优化</w:t>
      </w:r>
    </w:p>
    <w:p w14:paraId="346E15AB">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任务背景</w:t>
      </w:r>
    </w:p>
    <w:p w14:paraId="64F66B5B">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网页信息优化对于搜索引擎营销是至关重要的，通过对网站主页优化，公司的流量获得了进一步提升，为了乘胜追击，周义进一步对公司洗面奶产品的产品页加以优化，以提升网页信息优化的整体效果。</w:t>
      </w:r>
    </w:p>
    <w:p w14:paraId="29E03508">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产品页或服务页优化，主要是结合网页企业背景信息中的商品信息内容，利用挖掘到的品牌词、核心词、属性词、营销词、通用词、长尾词等关键词，对商品的产品页或服务页Title、Keywords元素进行编辑并优化。</w:t>
      </w:r>
    </w:p>
    <w:p w14:paraId="1AEABAE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任务要求</w:t>
      </w:r>
    </w:p>
    <w:p w14:paraId="63BE7192">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1、能够根据企业主营业务内容，挖掘并收集与商品相关的各类关键词。</w:t>
      </w:r>
    </w:p>
    <w:p w14:paraId="6CEE57D4">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2、能够根据挖掘的各类关键词，编辑并优化产品页或服务页Title。</w:t>
      </w:r>
    </w:p>
    <w:p w14:paraId="2974124F">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3、能够根据挖掘的各类关键词，编辑并优化产品页或服务页Keywords。</w:t>
      </w:r>
    </w:p>
    <w:p w14:paraId="63410043">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任务三：搜索排名广告营销</w:t>
      </w:r>
    </w:p>
    <w:p w14:paraId="745A7F7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任务背景</w:t>
      </w:r>
    </w:p>
    <w:p w14:paraId="7DD7F31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过一段时间的搜索排名优化，网站排名和流量都有所提升，为了快速定位意向受众，获取精准流量，周义决定通过搜索竞价排名广告对企业品牌进行推广，并利用本次推广达到展现量6500和点击量4500的营销目标。</w:t>
      </w:r>
    </w:p>
    <w:p w14:paraId="304B6252">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整个搜索引擎营销的过程中，关键词是至关重要的，不同的关键词有不同的商业价值。通过关键词分析可以清楚地掌握目标受众的搜索意向，进而采取不同的营销策略。周义对营销策略基本有了一个比较清晰的思路。在接下来营销过程中，主要是新建推广计划与推广单元，根据营销目标添加合适的关键词，完成创意的编辑，并设置推广地域、推广时间及预算金额等。</w:t>
      </w:r>
    </w:p>
    <w:p w14:paraId="7670186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任务要求</w:t>
      </w:r>
    </w:p>
    <w:p w14:paraId="1ECA122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1、能根据主营业务内容建立推广计划，并完成推广地域、推广时间及预算金额的设置。</w:t>
      </w:r>
    </w:p>
    <w:p w14:paraId="19CBB32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2、能够根据企业主营业务，建立推广单元并完成单元出价及创意的设置。</w:t>
      </w:r>
    </w:p>
    <w:p w14:paraId="5DA209EF">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3、能够根据主营业务内容与目标受众搜索词分析，完成关键词添加与出价设置。</w:t>
      </w:r>
    </w:p>
    <w:p w14:paraId="733293A4">
      <w:pPr>
        <w:spacing w:line="360" w:lineRule="auto"/>
        <w:ind w:right="210" w:rightChars="100" w:firstLine="562"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任务四：搜索排名广告营销分析</w:t>
      </w:r>
      <w:r>
        <w:rPr>
          <w:rFonts w:hint="eastAsia" w:ascii="仿宋_GB2312" w:hAnsi="仿宋_GB2312" w:eastAsia="仿宋_GB2312" w:cs="仿宋_GB2312"/>
          <w:sz w:val="28"/>
          <w:szCs w:val="28"/>
        </w:rPr>
        <w:t xml:space="preserve"> </w:t>
      </w:r>
    </w:p>
    <w:p w14:paraId="2A8EF3D0">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任务背景</w:t>
      </w:r>
    </w:p>
    <w:p w14:paraId="1B1A36B0">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过一段时间的搜索竞价排名广告营销后，周义发现公司的品牌流量得到了明显提升，为了更好的进行下一步的推广工作，周义决定根据针对营销效果数据进行分析，分析的思路遵循从整体到局部，从局部到细节的原则。账户分析的指标主要有展现量、点击、消费、点击率等，主要是对受众人群属性、地域、浏览时间段分布、关键词效果的分析。</w:t>
      </w:r>
    </w:p>
    <w:p w14:paraId="32E98A73">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任务要求</w:t>
      </w:r>
    </w:p>
    <w:p w14:paraId="6A2F7C20">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1、能根据搜索竞价排名广告营销的效果数据，完成受众基础属性、地域、浏览时间段分布的分析；</w:t>
      </w:r>
    </w:p>
    <w:p w14:paraId="30D8E3E8">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2、能根据搜索竞价广告营销的效果数据，结合关键词四象限模型，对关键词效果进行分析并提出优化方案。</w:t>
      </w:r>
    </w:p>
    <w:p w14:paraId="30151D76">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任务五：图文、短视频等落地页推广</w:t>
      </w:r>
    </w:p>
    <w:p w14:paraId="1FF0854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任务背景</w:t>
      </w:r>
    </w:p>
    <w:p w14:paraId="50B01143">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针对集团旗下自主开发的线上购物商城，公司决定将商城首页作为落地页，以提升广告的展现量和点击量作为此次周年庆营销活动的推广目标，并且投入10万元作为投放落地页广告的预算。为了高效完成营销任务，周义需要根据品牌数据分析的结果，结合制定的营销推广目标、受众及创意定向策略，完成此次落地页推广的广告投放。</w:t>
      </w:r>
    </w:p>
    <w:p w14:paraId="07162721">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任务要求</w:t>
      </w:r>
    </w:p>
    <w:p w14:paraId="0423D31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1、能够根据营销推广目标，结合品牌数据分析，完成落地页推广账户搭建。</w:t>
      </w:r>
    </w:p>
    <w:p w14:paraId="0700EBC1">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2、能够根据目标受众定向策略，结合品牌数据分析，设置落地页推广目标受众定向。</w:t>
      </w:r>
    </w:p>
    <w:p w14:paraId="25C76790">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3、能够根据营销推广目标，结合推广预算，设置落地页推广广告预算和出价。</w:t>
      </w:r>
    </w:p>
    <w:p w14:paraId="3987835B">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4、能够根据推广创意定向策略，结合品牌数据分析，完成落地页推广创意设置。</w:t>
      </w:r>
    </w:p>
    <w:p w14:paraId="08B5390B">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任务六：APP应用推广</w:t>
      </w:r>
    </w:p>
    <w:p w14:paraId="5A222553">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任务背景</w:t>
      </w:r>
    </w:p>
    <w:p w14:paraId="1F7E27C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集团旗下自有商品销售APP，公司决定将广告的展现量和点击量作为此次周年庆营销活动的推广目标，并且投入10万元作为投放APP广告的预算。公司本次应用推广主要针对Android应用平台。</w:t>
      </w:r>
    </w:p>
    <w:p w14:paraId="68B1027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了完成App推广任务，周义需要根据品牌数据分析的结果，针对应用程序未安装的用户，结合营销推广目标、受众及创意定向策略，完成此次应用推广的广告投放。此次广告投放的工作内容包括：完成搭建广告账户、设置受众定向、设置预算和出价、设置创意等。</w:t>
      </w:r>
    </w:p>
    <w:p w14:paraId="609F9950">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任务要求</w:t>
      </w:r>
    </w:p>
    <w:p w14:paraId="5D4F0F01">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1、能够根据营销推广目标，结合品牌数据分析，完成应用推广账户搭建；</w:t>
      </w:r>
    </w:p>
    <w:p w14:paraId="7139B8C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2、能够根据目标受众定向策略，结合行业受众分布，设置目标受众定向；</w:t>
      </w:r>
    </w:p>
    <w:p w14:paraId="5D509E2B">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3、能够根据营销推广目标，结合推广预算，设置应用推广广告预算和出价；</w:t>
      </w:r>
    </w:p>
    <w:p w14:paraId="5D753392">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4、能够根据推广创意定向策略，结合品牌信息，完成应用推广创意设置。</w:t>
      </w:r>
    </w:p>
    <w:p w14:paraId="15EEE0C8">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任务七：应用推广数据分析</w:t>
      </w:r>
    </w:p>
    <w:p w14:paraId="4F6BB018">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任务背景</w:t>
      </w:r>
    </w:p>
    <w:p w14:paraId="34E51E5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过一段时间的应用推广，为了降低广告消耗速度，保证最大限度的获取APP下载量，周义需要根据应用推广结果及营销报表，统计展现量、点击量、转化量等主要的营销数据，分析推广账户各指标维度，从消耗数据、效果数据等角度对应用推广效果进行整体评估，通过数据间的联系，分析应用推广过程中的问题。</w:t>
      </w:r>
    </w:p>
    <w:p w14:paraId="47A8D12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任务要求</w:t>
      </w:r>
    </w:p>
    <w:p w14:paraId="6D97740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1、能够根据推广结果，结合营销报表，完成应用推广营销数据统计。</w:t>
      </w:r>
    </w:p>
    <w:p w14:paraId="1835963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2、能够根据统计结果，结合营销推广目标，对应用推广效果进行评估。</w:t>
      </w:r>
    </w:p>
    <w:p w14:paraId="2409C5EA">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（二）新媒体营销</w:t>
      </w:r>
    </w:p>
    <w:p w14:paraId="51A12D63">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（1）背景资料</w:t>
      </w:r>
    </w:p>
    <w:p w14:paraId="35C630EA">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海百雀羚日用化学有限公司（英文缩写∶SPDC）是一家集研究、开发、生产、销售服务为一体的具有八十多年历史的化妆品专业生产企业。公司拥有先进的日化生产设备和检测仪器、仪表，有专门从事日化产品开发和研究的科研人员队伍；公司拥有知名品牌如：百雀羚、凤凰、小百羚、Disney，主要生产的产品大类有∶护肤用品、洗护发用品、个人清洁用品、花露水和美容化妆用品等优质的产品。</w:t>
      </w:r>
    </w:p>
    <w:p w14:paraId="0651B21E">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百雀羚创立于1931年，拥有八十年专业护肤历史，是中国化妆品行业屈指可数的经典国货厂商。悠久的历史，承载着辉煌的业绩，成就了百雀羚品质如金的美誉。品牌曾多次被评为“上海著名商标”。公司致力于为消费者创造天然温和的精致护肤品。传承经典，勇于创新，百雀羚将传统中医理念与现代科技相结合，先后推出了多款“草本护肤”系列产品，引领国货护肤新概念。 </w:t>
      </w:r>
    </w:p>
    <w:p w14:paraId="13B1133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362710" cy="1537335"/>
            <wp:effectExtent l="0" t="0" r="8890" b="1905"/>
            <wp:docPr id="13"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logo-1"/>
                    <pic:cNvPicPr>
                      <a:picLocks noChangeAspect="1"/>
                    </pic:cNvPicPr>
                  </pic:nvPicPr>
                  <pic:blipFill>
                    <a:blip r:embed="rId6"/>
                    <a:stretch>
                      <a:fillRect/>
                    </a:stretch>
                  </pic:blipFill>
                  <pic:spPr>
                    <a:xfrm>
                      <a:off x="0" y="0"/>
                      <a:ext cx="1362710" cy="1537335"/>
                    </a:xfrm>
                    <a:prstGeom prst="rect">
                      <a:avLst/>
                    </a:prstGeom>
                    <a:noFill/>
                    <a:ln>
                      <a:noFill/>
                    </a:ln>
                  </pic:spPr>
                </pic:pic>
              </a:graphicData>
            </a:graphic>
          </wp:inline>
        </w:drawing>
      </w:r>
    </w:p>
    <w:p w14:paraId="28D9254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百雀羚作为东方护肤智慧的传承创新者，匠心营造世界级产品品质；顺应高效、安全的护肤趋势，于2020年以“科技新草本”的全新品牌定位，开启战略升级。与国际生物科技巨头德国默克公司正式签署战略合作，将突破性高科技原初因®ProVTA®应用到百雀羚帧颜淡纹修护系列中，并携手探索“高效科技+东方草本”的完美融合，以现代科技赋能东方草本，成就东方大美的品牌典范。</w:t>
      </w:r>
    </w:p>
    <w:p w14:paraId="22A4492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历经80载，百雀羚由“天然不刺激”升级为“科技新草本”的全新品牌定位，以科技赋能草本，草本为核、科技加持，最大化激发草本的护肤潜能。</w:t>
      </w:r>
    </w:p>
    <w:p w14:paraId="4D523C2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✱企业荣誉</w:t>
      </w:r>
    </w:p>
    <w:p w14:paraId="68A64B3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百雀羚一直提倡自我创新，在肌肤科研领域不断深耕，这让品牌在国际舞台上都获得了很高荣誉。</w:t>
      </w:r>
    </w:p>
    <w:p w14:paraId="0C72AFE2">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2017年，百雀羚成为国际化妆品化学家联合会（IFSCC）在中国的首个金牌会员，并多次在IFSCC上屡获奖项。在Brand Finance“全球最有价值的50个化妆品和个护品牌”排行榜中，百雀羚连续3年入选，并于2021年成为唯一跻身全球top15的中国美妆品牌。  </w:t>
      </w:r>
    </w:p>
    <w:p w14:paraId="6451E947">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2438400" cy="1583690"/>
            <wp:effectExtent l="0" t="0" r="0" b="127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7"/>
                    <a:stretch>
                      <a:fillRect/>
                    </a:stretch>
                  </pic:blipFill>
                  <pic:spPr>
                    <a:xfrm>
                      <a:off x="0" y="0"/>
                      <a:ext cx="2438400" cy="1583690"/>
                    </a:xfrm>
                    <a:prstGeom prst="rect">
                      <a:avLst/>
                    </a:prstGeom>
                    <a:noFill/>
                    <a:ln>
                      <a:noFill/>
                    </a:ln>
                  </pic:spPr>
                </pic:pic>
              </a:graphicData>
            </a:graphic>
          </wp:inline>
        </w:drawing>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drawing>
          <wp:inline distT="0" distB="0" distL="114300" distR="114300">
            <wp:extent cx="2252980" cy="1883410"/>
            <wp:effectExtent l="0" t="0" r="2540" b="6350"/>
            <wp:docPr id="4" name="图片 3" descr="企业荣誉-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企业荣誉-3"/>
                    <pic:cNvPicPr>
                      <a:picLocks noChangeAspect="1"/>
                    </pic:cNvPicPr>
                  </pic:nvPicPr>
                  <pic:blipFill>
                    <a:blip r:embed="rId8"/>
                    <a:stretch>
                      <a:fillRect/>
                    </a:stretch>
                  </pic:blipFill>
                  <pic:spPr>
                    <a:xfrm>
                      <a:off x="0" y="0"/>
                      <a:ext cx="2252980" cy="1883410"/>
                    </a:xfrm>
                    <a:prstGeom prst="rect">
                      <a:avLst/>
                    </a:prstGeom>
                    <a:noFill/>
                    <a:ln>
                      <a:noFill/>
                    </a:ln>
                  </pic:spPr>
                </pic:pic>
              </a:graphicData>
            </a:graphic>
          </wp:inline>
        </w:drawing>
      </w:r>
    </w:p>
    <w:p w14:paraId="415E628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✱企业文化</w:t>
      </w:r>
    </w:p>
    <w:p w14:paraId="65E18E0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我们生产和销售具有优越性价比的超值产品，让所有中国人用上超值和安全可靠的产品；</w:t>
      </w:r>
    </w:p>
    <w:p w14:paraId="0432F572">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为此，我们将获得不断增长的市场份额和利润，并实现员工，股东，客户三赢。</w:t>
      </w:r>
    </w:p>
    <w:p w14:paraId="28D210F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客户为上：不以牺牲客户的利益为代价去追求短期利益的最大化；</w:t>
      </w:r>
    </w:p>
    <w:p w14:paraId="38E0D29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主人翁的精神：像对待自己的事情一样，对待每天的工作和每一个决定；</w:t>
      </w:r>
    </w:p>
    <w:p w14:paraId="3E8BE81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积极求胜：“我能行”的态度，注重执行；</w:t>
      </w:r>
    </w:p>
    <w:p w14:paraId="10F6589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坦诚互信：诚实正直，互相信任，就事论事，相互关爱，团结合作；</w:t>
      </w:r>
    </w:p>
    <w:p w14:paraId="5701243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心怀感恩：怀着一颗感恩的心，不要忘记说“谢谢你”；</w:t>
      </w:r>
    </w:p>
    <w:p w14:paraId="633A04F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我们乐意倾听，我们设法满足并超越客户的期望；</w:t>
      </w:r>
    </w:p>
    <w:p w14:paraId="7959548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有策略地着眼于每天的工作；</w:t>
      </w:r>
    </w:p>
    <w:p w14:paraId="25F5B93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学习和创新是我们成功的基石。</w:t>
      </w:r>
    </w:p>
    <w:p w14:paraId="78AD622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✱品牌故事</w:t>
      </w:r>
    </w:p>
    <w:p w14:paraId="31B59827">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1917年，上海嘉定县黄渡乡一个名叫顾植民的年轻人，年仅14岁便从乡下跑到上海城里谋生，先后在烟纸店、小茶馆和工厂中当学徒。之后，凭着过人的聪慧与勤快，又先后到典当行当了账房先生，到百货商店当了“跑街先生”。1929年，这位26岁的年轻人通过应聘，在闻名遐迩的上海先施百货公司谋得了人生中第一份体面的差事——化妆品销售员。</w:t>
      </w:r>
    </w:p>
    <w:p w14:paraId="7F40D9F1">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顾植民搞清楚化妆品的生产流程、进出货渠道以及利润来源后，这位怀揣梦想的年轻人开始筹划自己的化妆品公司。1937年，顾植民辞去工作，在位于崇德路（今普安路）91弄（培福里）33号的一幢三层楼的石库门楼房内创办了富贝康化妆品有限公司。</w:t>
      </w:r>
    </w:p>
    <w:p w14:paraId="07BB5A17">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1931年，“百雀羚”品牌创立。关于这个品牌的来历，有传闻说：一天，顾植民在路上遇见一算命瞎子，便上前询问该为自己的产品取个什么样的名字？盲人掐指细算后遂定名“百雀羚”。百雀，为百鸟朝凤之意；羚，是上海话“灵光”的谐音。顾植民一听，正中下怀，当场拍板定下。在他看来，“百”意味着许许多多，“雀”指的是各种鸟类；“羚”是鸟儿羽毛中所分泌出来的油脂。“百雀羚”，顾名思义，便是从鸟羽中提炼出来的油脂精华。</w:t>
      </w:r>
    </w:p>
    <w:p w14:paraId="19DBE3A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✱品牌发展历程 </w:t>
      </w:r>
    </w:p>
    <w:p w14:paraId="73E78C6A">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百雀羚是很多人喜欢的一个牌子，它的发展，也经过了很长的一段时间。百雀羚起源于1931年，上海富贝康公司引进德国配方，中国第一代护肤品成功问世；扬名自30年代初，百雀羚护肤香脂热销全国及东南亚主要地区，成为名媛贵族首选的护肤佳品。到1949年上海新中国成立之前，“百雀羚”的产品已遍布全国，北到哈尔滨，南到香港，西到青海，甚至远销至东南亚各国。</w:t>
      </w:r>
    </w:p>
    <w:p w14:paraId="14C29F94">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3688080" cy="1590675"/>
            <wp:effectExtent l="0" t="0" r="0" b="9525"/>
            <wp:docPr id="1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6"/>
                    <pic:cNvPicPr>
                      <a:picLocks noChangeAspect="1"/>
                    </pic:cNvPicPr>
                  </pic:nvPicPr>
                  <pic:blipFill>
                    <a:blip r:embed="rId9"/>
                    <a:stretch>
                      <a:fillRect/>
                    </a:stretch>
                  </pic:blipFill>
                  <pic:spPr>
                    <a:xfrm>
                      <a:off x="0" y="0"/>
                      <a:ext cx="3688080" cy="1590675"/>
                    </a:xfrm>
                    <a:prstGeom prst="rect">
                      <a:avLst/>
                    </a:prstGeom>
                    <a:noFill/>
                    <a:ln>
                      <a:noFill/>
                    </a:ln>
                  </pic:spPr>
                </pic:pic>
              </a:graphicData>
            </a:graphic>
          </wp:inline>
        </w:drawing>
      </w:r>
    </w:p>
    <w:p w14:paraId="726801C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展80年代后，国内首创肌肤由单纯的“保护”诉求，进入全面“护理、滋养”的护肤新理念，旗下的百雀羚、凤凰产品系列风靡全国；20世纪90年代初，由于外资化妆品牌大举进入中国，百雀羚作为本土品牌渐渐沉寂。</w:t>
      </w:r>
    </w:p>
    <w:p w14:paraId="24E98DD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2000年，改制为民营的上海百雀羚日用化学品公司成立后，引入产业资本及专业团队，开启了“百雀羚”艰难的品牌转型之路。</w:t>
      </w:r>
    </w:p>
    <w:p w14:paraId="68D2C72B">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2001年，百雀羚公司携手世界500强前列的美国迪士尼公司，联合推出儿童护理系列产品－小百羚。该品牌的诞生震撼业界，并迅速取得了可喜成绩。同时公司在产品开发、技术配方及生产流程上均获得了美国迪士尼公司审核的A级评价。</w:t>
      </w:r>
    </w:p>
    <w:p w14:paraId="715C4C9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090295" cy="1750060"/>
            <wp:effectExtent l="0" t="0" r="6985" b="254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0"/>
                    <a:stretch>
                      <a:fillRect/>
                    </a:stretch>
                  </pic:blipFill>
                  <pic:spPr>
                    <a:xfrm>
                      <a:off x="0" y="0"/>
                      <a:ext cx="1090295" cy="1750060"/>
                    </a:xfrm>
                    <a:prstGeom prst="rect">
                      <a:avLst/>
                    </a:prstGeom>
                    <a:noFill/>
                    <a:ln>
                      <a:noFill/>
                    </a:ln>
                  </pic:spPr>
                </pic:pic>
              </a:graphicData>
            </a:graphic>
          </wp:inline>
        </w:drawing>
      </w:r>
    </w:p>
    <w:p w14:paraId="19BCB4C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2002年百雀羚“凤凰甘油一号”诞生，无香精无色素的安全配方，广受万千女性追捧；2004年推出凡士林保湿润肤霜，以其卓越的安全护肤品质，风靡全国，在网络上被誉为“中国小黄油”。</w:t>
      </w:r>
    </w:p>
    <w:p w14:paraId="4DC6E4BA">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560830" cy="1624330"/>
            <wp:effectExtent l="0" t="0" r="8890" b="635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1"/>
                    <a:stretch>
                      <a:fillRect/>
                    </a:stretch>
                  </pic:blipFill>
                  <pic:spPr>
                    <a:xfrm>
                      <a:off x="0" y="0"/>
                      <a:ext cx="1560830" cy="1624330"/>
                    </a:xfrm>
                    <a:prstGeom prst="rect">
                      <a:avLst/>
                    </a:prstGeom>
                    <a:noFill/>
                    <a:ln>
                      <a:noFill/>
                    </a:ln>
                  </pic:spPr>
                </pic:pic>
              </a:graphicData>
            </a:graphic>
          </wp:inline>
        </w:drawing>
      </w:r>
    </w:p>
    <w:p w14:paraId="36D4836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2006年，展开“草本能量探索工程”。百雀羚深谙草本，不仅保证原料草本的完美天然品质，更通过全新研发的冷浸泡萃取技术，解决了活性物质无法完整保留等长期困扰草本护肤行业的难题，领先业界。</w:t>
      </w:r>
    </w:p>
    <w:p w14:paraId="21F50ABF">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2008年，凝结百雀羚科研成果的新一代草本精萃系列开始畅销。质地温和醇厚，效果安全卓越，从而将草本能量科技与天然护肤理念引领至新的高度之上。</w:t>
      </w:r>
    </w:p>
    <w:p w14:paraId="782C62C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905635" cy="1805940"/>
            <wp:effectExtent l="0" t="0" r="14605" b="762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2"/>
                    <a:stretch>
                      <a:fillRect/>
                    </a:stretch>
                  </pic:blipFill>
                  <pic:spPr>
                    <a:xfrm>
                      <a:off x="0" y="0"/>
                      <a:ext cx="1905635" cy="1805940"/>
                    </a:xfrm>
                    <a:prstGeom prst="rect">
                      <a:avLst/>
                    </a:prstGeom>
                    <a:noFill/>
                    <a:ln>
                      <a:noFill/>
                    </a:ln>
                  </pic:spPr>
                </pic:pic>
              </a:graphicData>
            </a:graphic>
          </wp:inline>
        </w:drawing>
      </w:r>
    </w:p>
    <w:p w14:paraId="11BBA49A">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2015年，百雀羚肌初赋活系列上市，持续以草本能量打造抗老系列，以更丰富的草本护肤佳品引领国内化妆品市场新的巅峰。</w:t>
      </w:r>
    </w:p>
    <w:p w14:paraId="24956A6E">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965960" cy="1702435"/>
            <wp:effectExtent l="0" t="0" r="0" b="4445"/>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13"/>
                    <a:stretch>
                      <a:fillRect/>
                    </a:stretch>
                  </pic:blipFill>
                  <pic:spPr>
                    <a:xfrm>
                      <a:off x="0" y="0"/>
                      <a:ext cx="1965960" cy="1702435"/>
                    </a:xfrm>
                    <a:prstGeom prst="rect">
                      <a:avLst/>
                    </a:prstGeom>
                    <a:noFill/>
                    <a:ln>
                      <a:noFill/>
                    </a:ln>
                  </pic:spPr>
                </pic:pic>
              </a:graphicData>
            </a:graphic>
          </wp:inline>
        </w:drawing>
      </w:r>
    </w:p>
    <w:p w14:paraId="07D6A3D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2020年百雀羚集团科技新草本战略升级的第一步，就是与多年的合作伙伴德国默克集团达成了战略合作，并于年共同重磅推出了淡纹抗老系列：百雀羚帧颜淡纹修护系列。</w:t>
      </w:r>
    </w:p>
    <w:p w14:paraId="3BE5EA33">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938655" cy="1938655"/>
            <wp:effectExtent l="0" t="0" r="12065" b="12065"/>
            <wp:docPr id="1" name="图片 9" descr="女士保湿套装-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女士保湿套装-3"/>
                    <pic:cNvPicPr>
                      <a:picLocks noChangeAspect="1"/>
                    </pic:cNvPicPr>
                  </pic:nvPicPr>
                  <pic:blipFill>
                    <a:blip r:embed="rId14"/>
                    <a:stretch>
                      <a:fillRect/>
                    </a:stretch>
                  </pic:blipFill>
                  <pic:spPr>
                    <a:xfrm>
                      <a:off x="0" y="0"/>
                      <a:ext cx="1938655" cy="1938655"/>
                    </a:xfrm>
                    <a:prstGeom prst="rect">
                      <a:avLst/>
                    </a:prstGeom>
                    <a:noFill/>
                    <a:ln>
                      <a:noFill/>
                    </a:ln>
                  </pic:spPr>
                </pic:pic>
              </a:graphicData>
            </a:graphic>
          </wp:inline>
        </w:drawing>
      </w:r>
    </w:p>
    <w:p w14:paraId="57A925C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✱品牌理念</w:t>
      </w:r>
    </w:p>
    <w:p w14:paraId="488D30B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护肤是东方护肤之道，百雀羚由来秉持这一理念，多年潜心钻研安全无刺激的草本护肤方法，遵循五行“相辅相生”的平衡理念，从《本草纲目》和《神农本草经》等医学圣典中，探寻现代草本护肤应用指法。专设“草本工坊”，探寻现代草本护肤之道，成立汉方草本研究，萃取自然精华，草本精心配伍，提炼出温和醇厚的五行能量元。为肌肤注入鲜活的草本能量，安全倍护，再现天生美肌。</w:t>
      </w:r>
    </w:p>
    <w:p w14:paraId="10878AC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百雀羚来自东方，源于中国，讲究东方美学的平衡和谐之道。相信对于肌肤，强施不如调养，雕琢不如自然。以草本自然能量，滋润养护肌肤。让属于你的现代东方之美，自然散发。</w:t>
      </w:r>
    </w:p>
    <w:p w14:paraId="62F617E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✱产品介绍</w:t>
      </w:r>
    </w:p>
    <w:p w14:paraId="78F81E9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目前百雀羚草本下产品系列主要由帧颜淡纹修护、鎏金奢养、水光肌、鲜妍新肌、水活能量、水嫩倍现、水能量、肌初赋活、至臻皙白、原液面貌等。本次营销主要以明星产品百雀羚帧颜修护礼盒、男士水能护肤套装为主。</w:t>
      </w:r>
    </w:p>
    <w:p w14:paraId="383AFD3F">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产品一：帧颜淡纹修护精华霜</w:t>
      </w:r>
    </w:p>
    <w:p w14:paraId="1DC02D9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百雀羚帧颜淡纹修护系列是百雀羚「科技新草本」战略升级的代表作，而此款帧颜淡纹修护精华霜是百雀羚帧颜淡纹修护系列的一款明星产品，是百雀羚携手德国默克研制的第一款针对东方女性肌肤衰老的面霜。</w:t>
      </w:r>
    </w:p>
    <w:p w14:paraId="68C6A679">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227455" cy="1227455"/>
            <wp:effectExtent l="0" t="0" r="6985" b="6985"/>
            <wp:docPr id="6" name="图片 10" descr="女士淡纹修护眼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女士淡纹修护眼霜"/>
                    <pic:cNvPicPr>
                      <a:picLocks noChangeAspect="1"/>
                    </pic:cNvPicPr>
                  </pic:nvPicPr>
                  <pic:blipFill>
                    <a:blip r:embed="rId15"/>
                    <a:stretch>
                      <a:fillRect/>
                    </a:stretch>
                  </pic:blipFill>
                  <pic:spPr>
                    <a:xfrm>
                      <a:off x="0" y="0"/>
                      <a:ext cx="1227455" cy="1227455"/>
                    </a:xfrm>
                    <a:prstGeom prst="rect">
                      <a:avLst/>
                    </a:prstGeom>
                    <a:noFill/>
                    <a:ln>
                      <a:noFill/>
                    </a:ln>
                  </pic:spPr>
                </pic:pic>
              </a:graphicData>
            </a:graphic>
          </wp:inline>
        </w:drawing>
      </w:r>
    </w:p>
    <w:p w14:paraId="4D171DA3">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在百雀羚帧颜霜的配方中，含有4.8%的精纯视黄醇、90%高纯人参多肽、4倍浓缩积雪草精粹等多重有效成分，不但可以补充胶原蛋白、饱满肌底，还可以帮助肌肤抹平细纹，提高肌肤自我修复能力。</w:t>
      </w:r>
    </w:p>
    <w:p w14:paraId="7A319C6A">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外，帧颜霜的核心成分为百雀羚独家高科技萃取植物精粹ProVTA原初因。这一黑科技成分只有毛孔的千分之一大小，可以轻松地钻进毛孔通道，渗透入皮肤。在渗透过程中，ProVTA的脂质体包裹技术还能起到一个很好的保护外衣作用，可以精准地让ProVTA渗透到真皮层再有效地释放出抗初老活性成分，有效帮助淡化可见纹、隐褪潜在纹。</w:t>
      </w:r>
    </w:p>
    <w:p w14:paraId="30730BC2">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功效：从「外淡纹」+「内修护」出发，以「视黄醇」和百雀羚独家黑科技成分「ProVTA™原初因」为核心成分，一个淡化已上脸的细纹，一个从真皮层修护肌肤&amp;延缓肌肤老化，内外兼修帮助对抗细纹；积雪草提取物、人参根提取物、透明质酸钠等成分，加强修护及抗初老能力。轻盈的冰淇淋质地，有一定的保湿力度，清爽不黏腻。对偏油皮很友好，干皮可视情况叠加其他产品</w:t>
      </w:r>
    </w:p>
    <w:p w14:paraId="7BEF7A9F">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50g装市场价358元，25g装市场价199元。单个产品的促销活动价格不能低于8折，两个规格产品搭配销售价格也不能低于7.5折。</w:t>
      </w:r>
    </w:p>
    <w:p w14:paraId="4910D79F">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产品二：百雀羚男士水能套装</w:t>
      </w:r>
    </w:p>
    <w:p w14:paraId="0E65D60E">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百雀羚此款男士水能套装内含男士水能保湿黑炭抗黑头洁面膏（100g）、男士水能保湿强润能量水（100ml）、男士水能保湿强润高保湿乳（100ml）三款产品。</w:t>
      </w:r>
    </w:p>
    <w:p w14:paraId="610A0981">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662430" cy="1783080"/>
            <wp:effectExtent l="0" t="0" r="13970" b="0"/>
            <wp:docPr id="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pic:cNvPicPr>
                      <a:picLocks noChangeAspect="1"/>
                    </pic:cNvPicPr>
                  </pic:nvPicPr>
                  <pic:blipFill>
                    <a:blip r:embed="rId16"/>
                    <a:stretch>
                      <a:fillRect/>
                    </a:stretch>
                  </pic:blipFill>
                  <pic:spPr>
                    <a:xfrm>
                      <a:off x="0" y="0"/>
                      <a:ext cx="1662430" cy="1783080"/>
                    </a:xfrm>
                    <a:prstGeom prst="rect">
                      <a:avLst/>
                    </a:prstGeom>
                    <a:noFill/>
                    <a:ln>
                      <a:noFill/>
                    </a:ln>
                  </pic:spPr>
                </pic:pic>
              </a:graphicData>
            </a:graphic>
          </wp:inline>
        </w:drawing>
      </w:r>
    </w:p>
    <w:p w14:paraId="1697D0D0">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功效：保湿、舒缓、清爽。洁面膏富含活性黑炭，以黑吸黑，能有效吸附堵塞毛孔的污垢和黑头，深层磁力清洁，洗后清爽不紧绷；能量水富含烟酰胺，能够强效锁水保湿，舒缓剃须后肌肤不适，澎湃补水不黏腻；精华乳富含芦荟，沁润易吸收，减缓水分流失，形成锁水屏障，保持肌肤澎弹润泽。</w:t>
      </w:r>
    </w:p>
    <w:p w14:paraId="7866A9CB">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适合肤质：油性肌肤、干性肌肤、混合性肌肤</w:t>
      </w:r>
    </w:p>
    <w:p w14:paraId="58BA38FB">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主要成分：金钗石斛、苦参根、芦荟叶</w:t>
      </w:r>
    </w:p>
    <w:p w14:paraId="4841051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产品细节：按压头设计，使用方便，取量可控，避免双手直接接触造成的污染；深蓝色瓶身，设计低调稳重。</w:t>
      </w:r>
    </w:p>
    <w:p w14:paraId="296199E4">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款百雀羚男士水能套装市场价306元，单支水能保湿黑炭抗黑头洁面膏市场价93元，单瓶男士水能强润高保湿乳市场价170元，单瓶男士水能强润能量水市场价156元。百雀羚男士水能套装活动价格不允许低于市场价的9折。</w:t>
      </w:r>
    </w:p>
    <w:p w14:paraId="4534398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赠品一：百雀羚帧颜淡纹修护眼膜</w:t>
      </w:r>
    </w:p>
    <w:p w14:paraId="19078DE7">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此款百雀羚帧颜淡纹修护眼膜主要成分是积雪草、精纯人参多肽、视黄醇等。能深入修护肌底、淡退眼周细纹、沁润眼周，赋活肌底韧性，肌肤紧致饱满，更显年轻。适合所有肤质。</w:t>
      </w:r>
    </w:p>
    <w:p w14:paraId="7AB904DA">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市场价2片装/袋，1袋38元，每片19元。购买金额每满500元，允许赠送1片。</w:t>
      </w:r>
    </w:p>
    <w:p w14:paraId="5A7BF468">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564005" cy="1701800"/>
            <wp:effectExtent l="0" t="0" r="5715" b="5080"/>
            <wp:docPr id="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pic:cNvPicPr>
                      <a:picLocks noChangeAspect="1"/>
                    </pic:cNvPicPr>
                  </pic:nvPicPr>
                  <pic:blipFill>
                    <a:blip r:embed="rId17"/>
                    <a:stretch>
                      <a:fillRect/>
                    </a:stretch>
                  </pic:blipFill>
                  <pic:spPr>
                    <a:xfrm>
                      <a:off x="0" y="0"/>
                      <a:ext cx="1564005" cy="1701800"/>
                    </a:xfrm>
                    <a:prstGeom prst="rect">
                      <a:avLst/>
                    </a:prstGeom>
                    <a:noFill/>
                    <a:ln>
                      <a:noFill/>
                    </a:ln>
                  </pic:spPr>
                </pic:pic>
              </a:graphicData>
            </a:graphic>
          </wp:inline>
        </w:drawing>
      </w:r>
    </w:p>
    <w:p w14:paraId="2FDA4AAB">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赠品二：男士控油保湿黑精华面膜</w:t>
      </w:r>
    </w:p>
    <w:p w14:paraId="2320BE8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款男士控油保湿黑精华面膜主要功效是控油平衡、补水保湿、细致毛孔，舒缓修护。多微孔结构备长炭膜布能深层净化毛孔，吸附多余油脂。高纯透明质酸钠和银耳子实体提取物能有效补水保湿。高纯维生素原B5积雪草提取物能有效舒缓肌肤不适，双重酵母茶叶提取物能很好地维持水油平衡。</w:t>
      </w:r>
    </w:p>
    <w:p w14:paraId="7A16B4A4">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市场价每片19.9元，购买金额每满400元，允许赠送1片。</w:t>
      </w:r>
    </w:p>
    <w:p w14:paraId="28C13767">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114300" distR="114300">
            <wp:extent cx="1836420" cy="1974850"/>
            <wp:effectExtent l="0" t="0" r="7620" b="6350"/>
            <wp:docPr id="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pic:cNvPicPr>
                      <a:picLocks noChangeAspect="1"/>
                    </pic:cNvPicPr>
                  </pic:nvPicPr>
                  <pic:blipFill>
                    <a:blip r:embed="rId18"/>
                    <a:stretch>
                      <a:fillRect/>
                    </a:stretch>
                  </pic:blipFill>
                  <pic:spPr>
                    <a:xfrm>
                      <a:off x="0" y="0"/>
                      <a:ext cx="1836420" cy="1974850"/>
                    </a:xfrm>
                    <a:prstGeom prst="rect">
                      <a:avLst/>
                    </a:prstGeom>
                    <a:noFill/>
                    <a:ln>
                      <a:noFill/>
                    </a:ln>
                  </pic:spPr>
                </pic:pic>
              </a:graphicData>
            </a:graphic>
          </wp:inline>
        </w:drawing>
      </w:r>
    </w:p>
    <w:p w14:paraId="7F26D424">
      <w:pPr>
        <w:spacing w:line="360" w:lineRule="auto"/>
        <w:ind w:right="210" w:rightChars="100"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（2）考核要求</w:t>
      </w:r>
    </w:p>
    <w:p w14:paraId="72680912">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任务一：</w:t>
      </w:r>
      <w:bookmarkStart w:id="0" w:name="OLE_LINK1"/>
      <w:r>
        <w:rPr>
          <w:rFonts w:hint="eastAsia" w:ascii="仿宋_GB2312" w:hAnsi="仿宋_GB2312" w:eastAsia="仿宋_GB2312" w:cs="仿宋_GB2312"/>
          <w:sz w:val="28"/>
          <w:szCs w:val="28"/>
        </w:rPr>
        <w:t>策划营销活动主题与内容，完成营销活动宣传文案的制作</w:t>
      </w:r>
      <w:bookmarkEnd w:id="0"/>
    </w:p>
    <w:p w14:paraId="309E82D2">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海百雀羚日用化学有限公司市场部根据前期市场和客户数据调研发现帧颜淡纹修护精华霜这款产品市场需求不断上升。消费者对此款产品质量的评价反馈良好，但普遍反映价格偏高。由于价格原因放弃购买，选择其他品牌作为替代品的消费者人数不断攀升。针对此种现状，市场部决定借势节日的营销氛围，选取这款帧颜淡纹修护精华霜进行一次促销活动。一方面，通过促销活动短期内快速提高这款产品的销量；另一方面，通过价格优势尽力挽回因价格问题而流失的产品忠诚客户。</w:t>
      </w:r>
    </w:p>
    <w:p w14:paraId="4C319F6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请根据企业营销目标，首先结合产品特性和目标客户特点，策划营销活动主题以及活动时间、活动参与方式、活动优惠力度等具体营销活动内容。然后根据营销文案传播特点，结合营销活动主题和内容，借助提供的新媒体编辑工具，设置吸引点击的文案标题和封面，采用图文混排的方式完成营销活动宣传文案的制作。</w:t>
      </w:r>
    </w:p>
    <w:p w14:paraId="45851CB8">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任务二：策划企业宣传主题和内容，完成企业营销宣传海报的制作</w:t>
      </w:r>
    </w:p>
    <w:p w14:paraId="2F2F243A">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海百雀羚日用化学有限公司市场部根据前期市场和客户数据调研发现百雀羚产品在中国部分省、市的市场占有率存在明显不足，客户对品牌认知度不够。针对此种现状，为了进一步提高百雀羚品牌在这些省、市的知名度和品牌渗透率，市场部决定借助在此类市场普遍销售较好的一款百雀羚男士水能套装进行一次企业营销宣传活动。一方面，通过企业营销宣传增强老客户的品牌认同感；另一方面，吸引更多的潜在客户关注品牌，提高品牌认知度。</w:t>
      </w:r>
    </w:p>
    <w:p w14:paraId="1D8D119C">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请根据企业宣传目标，首先结合企业品牌理念、产品和目标客户特点，设计企业宣传主题和内容，传达企业文化和理念。然后根据H5内容传播特点，结合企业宣传主题和内容，借助提供的H5编辑模板和图片素材，设置能激发分享欲的标题和封面，采用图文结合的动态展现方式，完成企业营销宣传海报的制作。</w:t>
      </w:r>
    </w:p>
    <w:p w14:paraId="6FA70F40">
      <w:pPr>
        <w:pStyle w:val="2"/>
        <w:rPr>
          <w:b w:val="0"/>
          <w:bCs/>
        </w:rPr>
      </w:pPr>
      <w:r>
        <w:rPr>
          <w:rFonts w:hint="eastAsia"/>
          <w:b w:val="0"/>
          <w:bCs/>
          <w:lang w:val="en-US" w:eastAsia="zh-CN"/>
        </w:rPr>
        <w:t>八</w:t>
      </w:r>
      <w:r>
        <w:rPr>
          <w:rFonts w:hint="eastAsia"/>
          <w:b w:val="0"/>
          <w:bCs/>
        </w:rPr>
        <w:t>、成绩评定</w:t>
      </w:r>
    </w:p>
    <w:p w14:paraId="26E55EC6">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（一）评分方法</w:t>
      </w:r>
    </w:p>
    <w:p w14:paraId="45D2499F">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1.评分方法：分为机考评分和结果评分。</w:t>
      </w:r>
    </w:p>
    <w:p w14:paraId="7F87FA65">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2.成绩产生方法：按100分制计分，分数由高到低进行排名。如果出现总成绩相同的情况，优先以网络营销成绩进行排名，若网络营销成绩仍相同则按照新媒体营销成绩进行排名。</w:t>
      </w:r>
    </w:p>
    <w:p w14:paraId="0BFD2A2D">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成绩审核方法：为保障成绩评判的准确性，监督仲裁组将对赛项总成绩排名前30%所有参赛队的成绩进行复核；对其余成绩进行抽检复核，抽检覆盖率不得低于15%。如发现成绩错误以书面方式及时告知裁判长，由裁判长更正成绩并签字确认。复核、抽检错误率超过5%的，裁判组将对所有成绩进行复核。</w:t>
      </w:r>
    </w:p>
    <w:p w14:paraId="57BDE684">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4.成绩公布方法：记分员将解密后的各参赛队伍成绩汇总成比赛成绩，经裁判长、监督仲裁长签字，公示1小时且无异议后，上报组委会公布结果。</w:t>
      </w:r>
    </w:p>
    <w:p w14:paraId="0C3F0CC1">
      <w:pPr>
        <w:spacing w:line="360" w:lineRule="auto"/>
        <w:ind w:right="210" w:rightChars="10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（二）评分标准</w:t>
      </w:r>
    </w:p>
    <w:tbl>
      <w:tblPr>
        <w:tblStyle w:val="13"/>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3"/>
        <w:gridCol w:w="1486"/>
        <w:gridCol w:w="3590"/>
        <w:gridCol w:w="977"/>
        <w:gridCol w:w="1486"/>
      </w:tblGrid>
      <w:tr w14:paraId="1026F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0" w:type="auto"/>
            <w:tcBorders>
              <w:left w:val="single" w:color="000000" w:sz="4" w:space="0"/>
              <w:right w:val="single" w:color="000000" w:sz="4" w:space="0"/>
            </w:tcBorders>
            <w:noWrap w:val="0"/>
            <w:vAlign w:val="center"/>
          </w:tcPr>
          <w:p w14:paraId="5BE9C616">
            <w:pPr>
              <w:keepNext/>
              <w:snapToGrid w:val="0"/>
              <w:spacing w:line="240" w:lineRule="auto"/>
              <w:ind w:left="0" w:leftChars="0" w:right="0" w:rightChars="0" w:firstLine="0" w:firstLineChars="0"/>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模块</w:t>
            </w:r>
          </w:p>
        </w:tc>
        <w:tc>
          <w:tcPr>
            <w:tcW w:w="1486" w:type="dxa"/>
            <w:tcBorders>
              <w:left w:val="single" w:color="000000" w:sz="4" w:space="0"/>
              <w:right w:val="single" w:color="000000" w:sz="4" w:space="0"/>
            </w:tcBorders>
            <w:noWrap w:val="0"/>
            <w:vAlign w:val="center"/>
          </w:tcPr>
          <w:p w14:paraId="4204A1A0">
            <w:pPr>
              <w:keepNext/>
              <w:snapToGrid w:val="0"/>
              <w:spacing w:line="240" w:lineRule="auto"/>
              <w:ind w:left="0" w:leftChars="0" w:right="0" w:rightChars="0" w:firstLine="0" w:firstLineChars="0"/>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评分内容</w:t>
            </w:r>
          </w:p>
        </w:tc>
        <w:tc>
          <w:tcPr>
            <w:tcW w:w="3590" w:type="dxa"/>
            <w:tcBorders>
              <w:left w:val="single" w:color="000000" w:sz="4" w:space="0"/>
              <w:right w:val="single" w:color="000000" w:sz="4" w:space="0"/>
            </w:tcBorders>
            <w:noWrap w:val="0"/>
            <w:vAlign w:val="center"/>
          </w:tcPr>
          <w:p w14:paraId="4B2D7C41">
            <w:pPr>
              <w:keepNext/>
              <w:snapToGrid w:val="0"/>
              <w:spacing w:line="240" w:lineRule="auto"/>
              <w:ind w:left="0" w:leftChars="0" w:right="0" w:rightChars="0" w:firstLine="0" w:firstLineChars="0"/>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评分细则</w:t>
            </w:r>
          </w:p>
        </w:tc>
        <w:tc>
          <w:tcPr>
            <w:tcW w:w="977" w:type="dxa"/>
            <w:tcBorders>
              <w:left w:val="single" w:color="000000" w:sz="4" w:space="0"/>
              <w:right w:val="single" w:color="000000" w:sz="4" w:space="0"/>
            </w:tcBorders>
            <w:noWrap w:val="0"/>
            <w:vAlign w:val="center"/>
          </w:tcPr>
          <w:p w14:paraId="03FF176B">
            <w:pPr>
              <w:keepNext/>
              <w:snapToGrid w:val="0"/>
              <w:spacing w:line="240" w:lineRule="auto"/>
              <w:ind w:left="0" w:leftChars="0" w:right="0" w:rightChars="0" w:firstLine="0" w:firstLineChars="0"/>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分值</w:t>
            </w:r>
          </w:p>
        </w:tc>
        <w:tc>
          <w:tcPr>
            <w:tcW w:w="1486" w:type="dxa"/>
            <w:tcBorders>
              <w:left w:val="single" w:color="000000" w:sz="4" w:space="0"/>
              <w:right w:val="single" w:color="000000" w:sz="4" w:space="0"/>
            </w:tcBorders>
            <w:noWrap w:val="0"/>
            <w:vAlign w:val="center"/>
          </w:tcPr>
          <w:p w14:paraId="22BD3743">
            <w:pPr>
              <w:keepNext/>
              <w:snapToGrid w:val="0"/>
              <w:spacing w:line="240" w:lineRule="auto"/>
              <w:ind w:left="0" w:leftChars="0" w:right="0" w:rightChars="0" w:firstLine="0" w:firstLineChars="0"/>
              <w:jc w:val="center"/>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评分方式</w:t>
            </w:r>
          </w:p>
        </w:tc>
      </w:tr>
      <w:tr w14:paraId="2882D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tcBorders>
              <w:left w:val="single" w:color="000000" w:sz="4" w:space="0"/>
              <w:right w:val="single" w:color="000000" w:sz="4" w:space="0"/>
            </w:tcBorders>
            <w:noWrap w:val="0"/>
            <w:vAlign w:val="center"/>
          </w:tcPr>
          <w:p w14:paraId="6F514EB5">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bookmarkStart w:id="1" w:name="_Hlk217052361"/>
            <w:r>
              <w:rPr>
                <w:rFonts w:hint="eastAsia" w:ascii="仿宋_GB2312" w:hAnsi="仿宋_GB2312" w:eastAsia="仿宋_GB2312" w:cs="仿宋_GB2312"/>
                <w:sz w:val="28"/>
                <w:szCs w:val="28"/>
                <w:highlight w:val="none"/>
              </w:rPr>
              <w:t>网络营销</w:t>
            </w:r>
          </w:p>
        </w:tc>
        <w:tc>
          <w:tcPr>
            <w:tcW w:w="5076" w:type="dxa"/>
            <w:gridSpan w:val="2"/>
            <w:tcBorders>
              <w:left w:val="single" w:color="000000" w:sz="4" w:space="0"/>
              <w:right w:val="single" w:color="000000" w:sz="4" w:space="0"/>
            </w:tcBorders>
            <w:noWrap w:val="0"/>
            <w:vAlign w:val="center"/>
          </w:tcPr>
          <w:p w14:paraId="4AB978C2">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任务一：目标受众分析定位（5分）</w:t>
            </w:r>
          </w:p>
          <w:p w14:paraId="4F9C2469">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任务二：产品页或服务页优化（5分）</w:t>
            </w:r>
          </w:p>
          <w:p w14:paraId="19F4FF90">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任务三：搜索排名广告营销（10分）</w:t>
            </w:r>
          </w:p>
          <w:p w14:paraId="1B6C2D83">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任务四：搜索排名广告营销分析（5分）</w:t>
            </w:r>
          </w:p>
          <w:p w14:paraId="7991C925">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任务五：图文、短视频等落地页推广（10分）</w:t>
            </w:r>
          </w:p>
          <w:p w14:paraId="6A0E70AD">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任务六：APP应用推广（10分）</w:t>
            </w:r>
          </w:p>
          <w:p w14:paraId="6B5021D3">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任务七：应用推广数据分析（5分）</w:t>
            </w:r>
          </w:p>
        </w:tc>
        <w:tc>
          <w:tcPr>
            <w:tcW w:w="977" w:type="dxa"/>
            <w:tcBorders>
              <w:left w:val="single" w:color="000000" w:sz="4" w:space="0"/>
              <w:right w:val="single" w:color="000000" w:sz="4" w:space="0"/>
            </w:tcBorders>
            <w:noWrap w:val="0"/>
            <w:vAlign w:val="center"/>
          </w:tcPr>
          <w:p w14:paraId="3F2F6629">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50分</w:t>
            </w:r>
          </w:p>
        </w:tc>
        <w:tc>
          <w:tcPr>
            <w:tcW w:w="1486" w:type="dxa"/>
            <w:tcBorders>
              <w:left w:val="single" w:color="000000" w:sz="4" w:space="0"/>
              <w:right w:val="single" w:color="000000" w:sz="4" w:space="0"/>
            </w:tcBorders>
            <w:noWrap w:val="0"/>
            <w:vAlign w:val="center"/>
          </w:tcPr>
          <w:p w14:paraId="3D86FD83">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机考评分</w:t>
            </w:r>
          </w:p>
        </w:tc>
      </w:tr>
      <w:bookmarkEnd w:id="1"/>
      <w:tr w14:paraId="61791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restart"/>
            <w:tcBorders>
              <w:left w:val="single" w:color="000000" w:sz="4" w:space="0"/>
              <w:right w:val="single" w:color="000000" w:sz="4" w:space="0"/>
            </w:tcBorders>
            <w:noWrap w:val="0"/>
            <w:vAlign w:val="center"/>
          </w:tcPr>
          <w:p w14:paraId="01CB0791">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新媒体营销</w:t>
            </w:r>
          </w:p>
        </w:tc>
        <w:tc>
          <w:tcPr>
            <w:tcW w:w="1486" w:type="dxa"/>
            <w:vMerge w:val="restart"/>
            <w:tcBorders>
              <w:left w:val="single" w:color="000000" w:sz="4" w:space="0"/>
              <w:right w:val="single" w:color="000000" w:sz="4" w:space="0"/>
            </w:tcBorders>
            <w:noWrap w:val="0"/>
            <w:vAlign w:val="center"/>
          </w:tcPr>
          <w:p w14:paraId="4F48682D">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标题</w:t>
            </w:r>
          </w:p>
        </w:tc>
        <w:tc>
          <w:tcPr>
            <w:tcW w:w="3590" w:type="dxa"/>
            <w:tcBorders>
              <w:left w:val="single" w:color="000000" w:sz="4" w:space="0"/>
              <w:right w:val="single" w:color="000000" w:sz="4" w:space="0"/>
            </w:tcBorders>
            <w:noWrap w:val="0"/>
            <w:vAlign w:val="center"/>
          </w:tcPr>
          <w:p w14:paraId="1448935D">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标题撰写规范合理</w:t>
            </w:r>
          </w:p>
        </w:tc>
        <w:tc>
          <w:tcPr>
            <w:tcW w:w="977" w:type="dxa"/>
            <w:vMerge w:val="restart"/>
            <w:tcBorders>
              <w:left w:val="single" w:color="000000" w:sz="4" w:space="0"/>
              <w:right w:val="single" w:color="000000" w:sz="4" w:space="0"/>
            </w:tcBorders>
            <w:noWrap w:val="0"/>
            <w:vAlign w:val="center"/>
          </w:tcPr>
          <w:p w14:paraId="44021BA1">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分</w:t>
            </w:r>
          </w:p>
        </w:tc>
        <w:tc>
          <w:tcPr>
            <w:tcW w:w="1486" w:type="dxa"/>
            <w:vMerge w:val="restart"/>
            <w:tcBorders>
              <w:left w:val="single" w:color="000000" w:sz="4" w:space="0"/>
              <w:right w:val="single" w:color="000000" w:sz="4" w:space="0"/>
            </w:tcBorders>
            <w:noWrap w:val="0"/>
            <w:vAlign w:val="center"/>
          </w:tcPr>
          <w:p w14:paraId="42288456">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结果评分</w:t>
            </w:r>
          </w:p>
        </w:tc>
      </w:tr>
      <w:tr w14:paraId="4CD4B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6808CF2E">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18B8D6F7">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5E41F2E5">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能够激发阅读，吸引用户点击</w:t>
            </w:r>
          </w:p>
        </w:tc>
        <w:tc>
          <w:tcPr>
            <w:tcW w:w="977" w:type="dxa"/>
            <w:vMerge w:val="continue"/>
            <w:tcBorders>
              <w:left w:val="single" w:color="000000" w:sz="4" w:space="0"/>
              <w:right w:val="single" w:color="000000" w:sz="4" w:space="0"/>
            </w:tcBorders>
            <w:noWrap w:val="0"/>
            <w:vAlign w:val="center"/>
          </w:tcPr>
          <w:p w14:paraId="3C2718D7">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2984C448">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73E1E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25A1F8FE">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4DED4208">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7C2898E5">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无错别字</w:t>
            </w:r>
          </w:p>
        </w:tc>
        <w:tc>
          <w:tcPr>
            <w:tcW w:w="977" w:type="dxa"/>
            <w:vMerge w:val="continue"/>
            <w:tcBorders>
              <w:left w:val="single" w:color="000000" w:sz="4" w:space="0"/>
              <w:right w:val="single" w:color="000000" w:sz="4" w:space="0"/>
            </w:tcBorders>
            <w:noWrap w:val="0"/>
            <w:vAlign w:val="center"/>
          </w:tcPr>
          <w:p w14:paraId="4D3BB1E3">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2F8B0C4D">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13806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1706CBCC">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restart"/>
            <w:tcBorders>
              <w:left w:val="single" w:color="000000" w:sz="4" w:space="0"/>
              <w:right w:val="single" w:color="000000" w:sz="4" w:space="0"/>
            </w:tcBorders>
            <w:noWrap w:val="0"/>
            <w:vAlign w:val="center"/>
          </w:tcPr>
          <w:p w14:paraId="6B33E39F">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正文</w:t>
            </w:r>
          </w:p>
        </w:tc>
        <w:tc>
          <w:tcPr>
            <w:tcW w:w="3590" w:type="dxa"/>
            <w:tcBorders>
              <w:left w:val="single" w:color="000000" w:sz="4" w:space="0"/>
              <w:right w:val="single" w:color="000000" w:sz="4" w:space="0"/>
            </w:tcBorders>
            <w:noWrap w:val="0"/>
            <w:vAlign w:val="center"/>
          </w:tcPr>
          <w:p w14:paraId="3C410809">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正文结构清晰合理</w:t>
            </w:r>
          </w:p>
        </w:tc>
        <w:tc>
          <w:tcPr>
            <w:tcW w:w="977" w:type="dxa"/>
            <w:vMerge w:val="restart"/>
            <w:tcBorders>
              <w:left w:val="single" w:color="000000" w:sz="4" w:space="0"/>
              <w:right w:val="single" w:color="000000" w:sz="4" w:space="0"/>
            </w:tcBorders>
            <w:noWrap w:val="0"/>
            <w:vAlign w:val="center"/>
          </w:tcPr>
          <w:p w14:paraId="61D7B413">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15</w:t>
            </w:r>
            <w:r>
              <w:rPr>
                <w:rFonts w:hint="eastAsia" w:ascii="仿宋_GB2312" w:hAnsi="仿宋_GB2312" w:eastAsia="仿宋_GB2312" w:cs="仿宋_GB2312"/>
                <w:sz w:val="28"/>
                <w:szCs w:val="28"/>
                <w:highlight w:val="none"/>
              </w:rPr>
              <w:t>分</w:t>
            </w:r>
          </w:p>
        </w:tc>
        <w:tc>
          <w:tcPr>
            <w:tcW w:w="1486" w:type="dxa"/>
            <w:vMerge w:val="restart"/>
            <w:tcBorders>
              <w:left w:val="single" w:color="000000" w:sz="4" w:space="0"/>
              <w:right w:val="single" w:color="000000" w:sz="4" w:space="0"/>
            </w:tcBorders>
            <w:noWrap w:val="0"/>
            <w:vAlign w:val="center"/>
          </w:tcPr>
          <w:p w14:paraId="60C15B32">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结果评分</w:t>
            </w:r>
          </w:p>
        </w:tc>
      </w:tr>
      <w:tr w14:paraId="224C5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613CAA7E">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3A65A294">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1FA2AC31">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开头引人入胜，吸引阅读</w:t>
            </w:r>
          </w:p>
        </w:tc>
        <w:tc>
          <w:tcPr>
            <w:tcW w:w="977" w:type="dxa"/>
            <w:vMerge w:val="continue"/>
            <w:tcBorders>
              <w:left w:val="single" w:color="000000" w:sz="4" w:space="0"/>
              <w:right w:val="single" w:color="000000" w:sz="4" w:space="0"/>
            </w:tcBorders>
            <w:noWrap w:val="0"/>
            <w:vAlign w:val="center"/>
          </w:tcPr>
          <w:p w14:paraId="19A8B462">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3D737F87">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373DD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5C931CAD">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2E43A1FC">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39CBBADE">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图文混排美观大方，字体使用合理，无错别字</w:t>
            </w:r>
          </w:p>
        </w:tc>
        <w:tc>
          <w:tcPr>
            <w:tcW w:w="977" w:type="dxa"/>
            <w:vMerge w:val="continue"/>
            <w:tcBorders>
              <w:left w:val="single" w:color="000000" w:sz="4" w:space="0"/>
              <w:right w:val="single" w:color="000000" w:sz="4" w:space="0"/>
            </w:tcBorders>
            <w:noWrap w:val="0"/>
            <w:vAlign w:val="center"/>
          </w:tcPr>
          <w:p w14:paraId="00AE6A97">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56FD09CF">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4C611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1C4B53F7">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4730ECDB">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0013F035">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图片选择恰当，与内容一致，图文内容呼应。</w:t>
            </w:r>
          </w:p>
        </w:tc>
        <w:tc>
          <w:tcPr>
            <w:tcW w:w="977" w:type="dxa"/>
            <w:vMerge w:val="continue"/>
            <w:tcBorders>
              <w:left w:val="single" w:color="000000" w:sz="4" w:space="0"/>
              <w:right w:val="single" w:color="000000" w:sz="4" w:space="0"/>
            </w:tcBorders>
            <w:noWrap w:val="0"/>
            <w:vAlign w:val="center"/>
          </w:tcPr>
          <w:p w14:paraId="3E0ECD99">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08F4CEE4">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596FA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45982E08">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7B6D5EE7">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410EFDE9">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文案内容逻辑清晰，能够突出活动主题与内容</w:t>
            </w:r>
          </w:p>
        </w:tc>
        <w:tc>
          <w:tcPr>
            <w:tcW w:w="977" w:type="dxa"/>
            <w:vMerge w:val="continue"/>
            <w:tcBorders>
              <w:left w:val="single" w:color="000000" w:sz="4" w:space="0"/>
              <w:right w:val="single" w:color="000000" w:sz="4" w:space="0"/>
            </w:tcBorders>
            <w:noWrap w:val="0"/>
            <w:vAlign w:val="center"/>
          </w:tcPr>
          <w:p w14:paraId="764BC761">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15A4513B">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1FC46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07D294EE">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53AB8C7B">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3A3825D3">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尾文能引导转发或购买，促进分享与转化</w:t>
            </w:r>
          </w:p>
        </w:tc>
        <w:tc>
          <w:tcPr>
            <w:tcW w:w="977" w:type="dxa"/>
            <w:vMerge w:val="continue"/>
            <w:tcBorders>
              <w:left w:val="single" w:color="000000" w:sz="4" w:space="0"/>
              <w:right w:val="single" w:color="000000" w:sz="4" w:space="0"/>
            </w:tcBorders>
            <w:noWrap w:val="0"/>
            <w:vAlign w:val="center"/>
          </w:tcPr>
          <w:p w14:paraId="4279A7CC">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1FE72E6E">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6CC3D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52CA3069">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restart"/>
            <w:tcBorders>
              <w:left w:val="single" w:color="000000" w:sz="4" w:space="0"/>
              <w:right w:val="single" w:color="000000" w:sz="4" w:space="0"/>
            </w:tcBorders>
            <w:noWrap w:val="0"/>
            <w:vAlign w:val="center"/>
          </w:tcPr>
          <w:p w14:paraId="308B77CD">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封面</w:t>
            </w:r>
          </w:p>
        </w:tc>
        <w:tc>
          <w:tcPr>
            <w:tcW w:w="3590" w:type="dxa"/>
            <w:tcBorders>
              <w:left w:val="single" w:color="000000" w:sz="4" w:space="0"/>
              <w:right w:val="single" w:color="000000" w:sz="4" w:space="0"/>
            </w:tcBorders>
            <w:noWrap w:val="0"/>
            <w:vAlign w:val="center"/>
          </w:tcPr>
          <w:p w14:paraId="56A2F802">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封面图片具有吸引力</w:t>
            </w:r>
          </w:p>
        </w:tc>
        <w:tc>
          <w:tcPr>
            <w:tcW w:w="977" w:type="dxa"/>
            <w:vMerge w:val="restart"/>
            <w:tcBorders>
              <w:left w:val="single" w:color="000000" w:sz="4" w:space="0"/>
              <w:right w:val="single" w:color="000000" w:sz="4" w:space="0"/>
            </w:tcBorders>
            <w:noWrap w:val="0"/>
            <w:vAlign w:val="center"/>
          </w:tcPr>
          <w:p w14:paraId="082441FB">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分</w:t>
            </w:r>
          </w:p>
        </w:tc>
        <w:tc>
          <w:tcPr>
            <w:tcW w:w="1486" w:type="dxa"/>
            <w:vMerge w:val="restart"/>
            <w:tcBorders>
              <w:left w:val="single" w:color="000000" w:sz="4" w:space="0"/>
              <w:right w:val="single" w:color="000000" w:sz="4" w:space="0"/>
            </w:tcBorders>
            <w:noWrap w:val="0"/>
            <w:vAlign w:val="center"/>
          </w:tcPr>
          <w:p w14:paraId="4D16AA14">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结果评分</w:t>
            </w:r>
          </w:p>
        </w:tc>
      </w:tr>
      <w:tr w14:paraId="6458B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316A81F3">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6614AE5C">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77A39646">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封面图片清晰、尺寸合理</w:t>
            </w:r>
          </w:p>
        </w:tc>
        <w:tc>
          <w:tcPr>
            <w:tcW w:w="977" w:type="dxa"/>
            <w:vMerge w:val="continue"/>
            <w:tcBorders>
              <w:left w:val="single" w:color="000000" w:sz="4" w:space="0"/>
              <w:right w:val="single" w:color="000000" w:sz="4" w:space="0"/>
            </w:tcBorders>
            <w:noWrap w:val="0"/>
            <w:vAlign w:val="center"/>
          </w:tcPr>
          <w:p w14:paraId="53C84457">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27CFA164">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11DC2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5896C7F2">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tcBorders>
              <w:left w:val="single" w:color="000000" w:sz="4" w:space="0"/>
              <w:right w:val="single" w:color="000000" w:sz="4" w:space="0"/>
            </w:tcBorders>
            <w:noWrap w:val="0"/>
            <w:vAlign w:val="center"/>
          </w:tcPr>
          <w:p w14:paraId="3D87D2F3">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活动描述评价</w:t>
            </w:r>
          </w:p>
        </w:tc>
        <w:tc>
          <w:tcPr>
            <w:tcW w:w="3590" w:type="dxa"/>
            <w:tcBorders>
              <w:left w:val="single" w:color="000000" w:sz="4" w:space="0"/>
              <w:right w:val="single" w:color="000000" w:sz="4" w:space="0"/>
            </w:tcBorders>
            <w:noWrap w:val="0"/>
            <w:vAlign w:val="center"/>
          </w:tcPr>
          <w:p w14:paraId="31271024">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活动内容描述完整，包括活动主题、时间、受众、类型、参与方式、活动细节等。</w:t>
            </w:r>
          </w:p>
        </w:tc>
        <w:tc>
          <w:tcPr>
            <w:tcW w:w="977" w:type="dxa"/>
            <w:tcBorders>
              <w:left w:val="single" w:color="000000" w:sz="4" w:space="0"/>
              <w:right w:val="single" w:color="000000" w:sz="4" w:space="0"/>
            </w:tcBorders>
            <w:noWrap w:val="0"/>
            <w:vAlign w:val="center"/>
          </w:tcPr>
          <w:p w14:paraId="6B63823B">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分</w:t>
            </w:r>
          </w:p>
        </w:tc>
        <w:tc>
          <w:tcPr>
            <w:tcW w:w="1486" w:type="dxa"/>
            <w:tcBorders>
              <w:left w:val="single" w:color="000000" w:sz="4" w:space="0"/>
              <w:right w:val="single" w:color="000000" w:sz="4" w:space="0"/>
            </w:tcBorders>
            <w:noWrap w:val="0"/>
            <w:vAlign w:val="center"/>
          </w:tcPr>
          <w:p w14:paraId="29C34283">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结果评分</w:t>
            </w:r>
          </w:p>
        </w:tc>
      </w:tr>
      <w:tr w14:paraId="09D72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6BDB971C">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restart"/>
            <w:tcBorders>
              <w:left w:val="single" w:color="000000" w:sz="4" w:space="0"/>
              <w:right w:val="single" w:color="000000" w:sz="4" w:space="0"/>
            </w:tcBorders>
            <w:noWrap w:val="0"/>
            <w:vAlign w:val="center"/>
          </w:tcPr>
          <w:p w14:paraId="75A5FECD">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标题</w:t>
            </w:r>
          </w:p>
        </w:tc>
        <w:tc>
          <w:tcPr>
            <w:tcW w:w="3590" w:type="dxa"/>
            <w:tcBorders>
              <w:left w:val="single" w:color="000000" w:sz="4" w:space="0"/>
              <w:right w:val="single" w:color="000000" w:sz="4" w:space="0"/>
            </w:tcBorders>
            <w:noWrap w:val="0"/>
            <w:vAlign w:val="center"/>
          </w:tcPr>
          <w:p w14:paraId="24A93DCF">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标题撰写规范合理</w:t>
            </w:r>
          </w:p>
        </w:tc>
        <w:tc>
          <w:tcPr>
            <w:tcW w:w="977" w:type="dxa"/>
            <w:vMerge w:val="restart"/>
            <w:tcBorders>
              <w:left w:val="single" w:color="000000" w:sz="4" w:space="0"/>
              <w:right w:val="single" w:color="000000" w:sz="4" w:space="0"/>
            </w:tcBorders>
            <w:noWrap w:val="0"/>
            <w:vAlign w:val="center"/>
          </w:tcPr>
          <w:p w14:paraId="7269006C">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分</w:t>
            </w:r>
          </w:p>
        </w:tc>
        <w:tc>
          <w:tcPr>
            <w:tcW w:w="1486" w:type="dxa"/>
            <w:vMerge w:val="restart"/>
            <w:tcBorders>
              <w:left w:val="single" w:color="000000" w:sz="4" w:space="0"/>
              <w:right w:val="single" w:color="000000" w:sz="4" w:space="0"/>
            </w:tcBorders>
            <w:noWrap w:val="0"/>
            <w:vAlign w:val="center"/>
          </w:tcPr>
          <w:p w14:paraId="26355DB8">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结果评分</w:t>
            </w:r>
          </w:p>
        </w:tc>
      </w:tr>
      <w:tr w14:paraId="307C2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2915775D">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0F3ABBDB">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0EEBCE63">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能够激发阅读，吸引用户点击</w:t>
            </w:r>
          </w:p>
        </w:tc>
        <w:tc>
          <w:tcPr>
            <w:tcW w:w="977" w:type="dxa"/>
            <w:vMerge w:val="continue"/>
            <w:tcBorders>
              <w:left w:val="single" w:color="000000" w:sz="4" w:space="0"/>
              <w:right w:val="single" w:color="000000" w:sz="4" w:space="0"/>
            </w:tcBorders>
            <w:noWrap w:val="0"/>
            <w:vAlign w:val="center"/>
          </w:tcPr>
          <w:p w14:paraId="5BD29C9E">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68637407">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7E1FE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6FE08AD0">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15AEDE7D">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6DBCE3FA">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无错别字</w:t>
            </w:r>
          </w:p>
        </w:tc>
        <w:tc>
          <w:tcPr>
            <w:tcW w:w="977" w:type="dxa"/>
            <w:vMerge w:val="continue"/>
            <w:tcBorders>
              <w:left w:val="single" w:color="000000" w:sz="4" w:space="0"/>
              <w:right w:val="single" w:color="000000" w:sz="4" w:space="0"/>
            </w:tcBorders>
            <w:noWrap w:val="0"/>
            <w:vAlign w:val="center"/>
          </w:tcPr>
          <w:p w14:paraId="00F3DE80">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197C6CCB">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5F5B2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5815FAA9">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restart"/>
            <w:tcBorders>
              <w:left w:val="single" w:color="000000" w:sz="4" w:space="0"/>
              <w:right w:val="single" w:color="000000" w:sz="4" w:space="0"/>
            </w:tcBorders>
            <w:noWrap w:val="0"/>
            <w:vAlign w:val="center"/>
          </w:tcPr>
          <w:p w14:paraId="2AF46E01">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海报</w:t>
            </w:r>
          </w:p>
        </w:tc>
        <w:tc>
          <w:tcPr>
            <w:tcW w:w="3590" w:type="dxa"/>
            <w:tcBorders>
              <w:left w:val="single" w:color="000000" w:sz="4" w:space="0"/>
              <w:right w:val="single" w:color="000000" w:sz="4" w:space="0"/>
            </w:tcBorders>
            <w:noWrap w:val="0"/>
            <w:vAlign w:val="center"/>
          </w:tcPr>
          <w:p w14:paraId="3532E9D7">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海报页数不少于5页，内容合理不重复</w:t>
            </w:r>
          </w:p>
        </w:tc>
        <w:tc>
          <w:tcPr>
            <w:tcW w:w="977" w:type="dxa"/>
            <w:vMerge w:val="restart"/>
            <w:tcBorders>
              <w:left w:val="single" w:color="000000" w:sz="4" w:space="0"/>
              <w:right w:val="single" w:color="000000" w:sz="4" w:space="0"/>
            </w:tcBorders>
            <w:noWrap w:val="0"/>
            <w:vAlign w:val="center"/>
          </w:tcPr>
          <w:p w14:paraId="7E27FBD8">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分</w:t>
            </w:r>
          </w:p>
        </w:tc>
        <w:tc>
          <w:tcPr>
            <w:tcW w:w="1486" w:type="dxa"/>
            <w:vMerge w:val="restart"/>
            <w:tcBorders>
              <w:left w:val="single" w:color="000000" w:sz="4" w:space="0"/>
              <w:right w:val="single" w:color="000000" w:sz="4" w:space="0"/>
            </w:tcBorders>
            <w:noWrap w:val="0"/>
            <w:vAlign w:val="center"/>
          </w:tcPr>
          <w:p w14:paraId="30BFDC95">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结果评分</w:t>
            </w:r>
          </w:p>
        </w:tc>
      </w:tr>
      <w:tr w14:paraId="1AA0D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091A863A">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3C489BA1">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13B459AB">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海报每页都有主标题</w:t>
            </w:r>
          </w:p>
        </w:tc>
        <w:tc>
          <w:tcPr>
            <w:tcW w:w="977" w:type="dxa"/>
            <w:vMerge w:val="continue"/>
            <w:tcBorders>
              <w:left w:val="single" w:color="000000" w:sz="4" w:space="0"/>
              <w:right w:val="single" w:color="000000" w:sz="4" w:space="0"/>
            </w:tcBorders>
            <w:noWrap w:val="0"/>
            <w:vAlign w:val="center"/>
          </w:tcPr>
          <w:p w14:paraId="536C09F7">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20366738">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31AF2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6D341740">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6BF81745">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78E651BE">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图文混排美观大方，字体使用合理，无错别字</w:t>
            </w:r>
          </w:p>
        </w:tc>
        <w:tc>
          <w:tcPr>
            <w:tcW w:w="977" w:type="dxa"/>
            <w:vMerge w:val="continue"/>
            <w:tcBorders>
              <w:left w:val="single" w:color="000000" w:sz="4" w:space="0"/>
              <w:right w:val="single" w:color="000000" w:sz="4" w:space="0"/>
            </w:tcBorders>
            <w:noWrap w:val="0"/>
            <w:vAlign w:val="center"/>
          </w:tcPr>
          <w:p w14:paraId="014C8B7D">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3B5D533D">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587C8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72CD0E53">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5127FF75">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505A4D0D">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内容逻辑清晰</w:t>
            </w:r>
          </w:p>
        </w:tc>
        <w:tc>
          <w:tcPr>
            <w:tcW w:w="977" w:type="dxa"/>
            <w:vMerge w:val="continue"/>
            <w:tcBorders>
              <w:left w:val="single" w:color="000000" w:sz="4" w:space="0"/>
              <w:right w:val="single" w:color="000000" w:sz="4" w:space="0"/>
            </w:tcBorders>
            <w:noWrap w:val="0"/>
            <w:vAlign w:val="center"/>
          </w:tcPr>
          <w:p w14:paraId="1B1C48A3">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5AF2C332">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1D877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3F7A4D0D">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4474D9D8">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3590" w:type="dxa"/>
            <w:tcBorders>
              <w:left w:val="single" w:color="000000" w:sz="4" w:space="0"/>
              <w:right w:val="single" w:color="000000" w:sz="4" w:space="0"/>
            </w:tcBorders>
            <w:noWrap w:val="0"/>
            <w:vAlign w:val="center"/>
          </w:tcPr>
          <w:p w14:paraId="5B736A1E">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突出品牌优势、强化品牌价值</w:t>
            </w:r>
          </w:p>
        </w:tc>
        <w:tc>
          <w:tcPr>
            <w:tcW w:w="977" w:type="dxa"/>
            <w:vMerge w:val="continue"/>
            <w:tcBorders>
              <w:left w:val="single" w:color="000000" w:sz="4" w:space="0"/>
              <w:right w:val="single" w:color="000000" w:sz="4" w:space="0"/>
            </w:tcBorders>
            <w:noWrap w:val="0"/>
            <w:vAlign w:val="center"/>
          </w:tcPr>
          <w:p w14:paraId="17DC3016">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p>
        </w:tc>
        <w:tc>
          <w:tcPr>
            <w:tcW w:w="1486" w:type="dxa"/>
            <w:vMerge w:val="continue"/>
            <w:tcBorders>
              <w:left w:val="single" w:color="000000" w:sz="4" w:space="0"/>
              <w:right w:val="single" w:color="000000" w:sz="4" w:space="0"/>
            </w:tcBorders>
            <w:noWrap w:val="0"/>
            <w:vAlign w:val="center"/>
          </w:tcPr>
          <w:p w14:paraId="35C091CF">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p>
        </w:tc>
      </w:tr>
      <w:tr w14:paraId="35DAD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5685C8BD">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p>
        </w:tc>
        <w:tc>
          <w:tcPr>
            <w:tcW w:w="1486" w:type="dxa"/>
            <w:vMerge w:val="restart"/>
            <w:tcBorders>
              <w:left w:val="single" w:color="000000" w:sz="4" w:space="0"/>
              <w:right w:val="single" w:color="000000" w:sz="4" w:space="0"/>
            </w:tcBorders>
            <w:noWrap w:val="0"/>
            <w:vAlign w:val="center"/>
          </w:tcPr>
          <w:p w14:paraId="7FF1F3E0">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封面</w:t>
            </w:r>
          </w:p>
        </w:tc>
        <w:tc>
          <w:tcPr>
            <w:tcW w:w="3590" w:type="dxa"/>
            <w:tcBorders>
              <w:left w:val="single" w:color="000000" w:sz="4" w:space="0"/>
              <w:right w:val="single" w:color="000000" w:sz="4" w:space="0"/>
            </w:tcBorders>
            <w:noWrap w:val="0"/>
            <w:vAlign w:val="center"/>
          </w:tcPr>
          <w:p w14:paraId="5C4CF975">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封面图片具有吸引力</w:t>
            </w:r>
          </w:p>
        </w:tc>
        <w:tc>
          <w:tcPr>
            <w:tcW w:w="977" w:type="dxa"/>
            <w:vMerge w:val="restart"/>
            <w:tcBorders>
              <w:left w:val="single" w:color="000000" w:sz="4" w:space="0"/>
              <w:right w:val="single" w:color="000000" w:sz="4" w:space="0"/>
            </w:tcBorders>
            <w:noWrap w:val="0"/>
            <w:vAlign w:val="center"/>
          </w:tcPr>
          <w:p w14:paraId="2A1EEC9D">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分</w:t>
            </w:r>
          </w:p>
        </w:tc>
        <w:tc>
          <w:tcPr>
            <w:tcW w:w="1486" w:type="dxa"/>
            <w:vMerge w:val="restart"/>
            <w:tcBorders>
              <w:left w:val="single" w:color="000000" w:sz="4" w:space="0"/>
              <w:right w:val="single" w:color="000000" w:sz="4" w:space="0"/>
            </w:tcBorders>
            <w:noWrap w:val="0"/>
            <w:vAlign w:val="center"/>
          </w:tcPr>
          <w:p w14:paraId="30368088">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结果评分</w:t>
            </w:r>
          </w:p>
        </w:tc>
      </w:tr>
      <w:tr w14:paraId="38EAF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tcBorders>
              <w:left w:val="single" w:color="000000" w:sz="4" w:space="0"/>
              <w:right w:val="single" w:color="000000" w:sz="4" w:space="0"/>
            </w:tcBorders>
            <w:noWrap w:val="0"/>
            <w:vAlign w:val="center"/>
          </w:tcPr>
          <w:p w14:paraId="0CE5177C">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yellow"/>
              </w:rPr>
            </w:pPr>
          </w:p>
        </w:tc>
        <w:tc>
          <w:tcPr>
            <w:tcW w:w="1486" w:type="dxa"/>
            <w:vMerge w:val="continue"/>
            <w:tcBorders>
              <w:left w:val="single" w:color="000000" w:sz="4" w:space="0"/>
              <w:right w:val="single" w:color="000000" w:sz="4" w:space="0"/>
            </w:tcBorders>
            <w:noWrap w:val="0"/>
            <w:vAlign w:val="center"/>
          </w:tcPr>
          <w:p w14:paraId="1A8746D5">
            <w:pPr>
              <w:keepNext/>
              <w:snapToGrid w:val="0"/>
              <w:spacing w:line="240" w:lineRule="auto"/>
              <w:ind w:left="0" w:leftChars="0" w:right="0" w:rightChars="0" w:firstLine="0" w:firstLineChars="0"/>
              <w:jc w:val="center"/>
              <w:rPr>
                <w:rFonts w:hint="eastAsia" w:ascii="仿宋_GB2312" w:hAnsi="仿宋_GB2312" w:eastAsia="仿宋_GB2312" w:cs="仿宋_GB2312"/>
                <w:sz w:val="28"/>
                <w:szCs w:val="28"/>
                <w:highlight w:val="yellow"/>
              </w:rPr>
            </w:pPr>
          </w:p>
        </w:tc>
        <w:tc>
          <w:tcPr>
            <w:tcW w:w="3590" w:type="dxa"/>
            <w:tcBorders>
              <w:left w:val="single" w:color="000000" w:sz="4" w:space="0"/>
              <w:right w:val="single" w:color="000000" w:sz="4" w:space="0"/>
            </w:tcBorders>
            <w:noWrap w:val="0"/>
            <w:vAlign w:val="center"/>
          </w:tcPr>
          <w:p w14:paraId="0F9F8349">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yellow"/>
              </w:rPr>
            </w:pPr>
            <w:bookmarkStart w:id="2" w:name="_GoBack"/>
            <w:r>
              <w:rPr>
                <w:rFonts w:hint="eastAsia" w:ascii="仿宋_GB2312" w:hAnsi="仿宋_GB2312" w:eastAsia="仿宋_GB2312" w:cs="仿宋_GB2312"/>
                <w:sz w:val="28"/>
                <w:szCs w:val="28"/>
                <w:highlight w:val="none"/>
              </w:rPr>
              <w:t>封面图片清晰、尺寸合理</w:t>
            </w:r>
            <w:bookmarkEnd w:id="2"/>
          </w:p>
        </w:tc>
        <w:tc>
          <w:tcPr>
            <w:tcW w:w="977" w:type="dxa"/>
            <w:vMerge w:val="continue"/>
            <w:tcBorders>
              <w:left w:val="single" w:color="000000" w:sz="4" w:space="0"/>
              <w:right w:val="single" w:color="000000" w:sz="4" w:space="0"/>
            </w:tcBorders>
            <w:noWrap w:val="0"/>
            <w:vAlign w:val="center"/>
          </w:tcPr>
          <w:p w14:paraId="10B6E584">
            <w:pPr>
              <w:keepNext/>
              <w:snapToGrid w:val="0"/>
              <w:spacing w:line="240" w:lineRule="auto"/>
              <w:ind w:left="0" w:leftChars="0" w:right="0" w:rightChars="0" w:firstLine="0" w:firstLineChars="0"/>
              <w:jc w:val="left"/>
              <w:rPr>
                <w:rFonts w:hint="eastAsia" w:ascii="仿宋_GB2312" w:hAnsi="仿宋_GB2312" w:eastAsia="仿宋_GB2312" w:cs="仿宋_GB2312"/>
                <w:sz w:val="28"/>
                <w:szCs w:val="28"/>
                <w:highlight w:val="yellow"/>
              </w:rPr>
            </w:pPr>
          </w:p>
        </w:tc>
        <w:tc>
          <w:tcPr>
            <w:tcW w:w="1486" w:type="dxa"/>
            <w:vMerge w:val="continue"/>
            <w:tcBorders>
              <w:left w:val="single" w:color="000000" w:sz="4" w:space="0"/>
              <w:right w:val="single" w:color="000000" w:sz="4" w:space="0"/>
            </w:tcBorders>
            <w:noWrap w:val="0"/>
            <w:vAlign w:val="center"/>
          </w:tcPr>
          <w:p w14:paraId="39E1C097">
            <w:pPr>
              <w:keepNext/>
              <w:snapToGrid w:val="0"/>
              <w:spacing w:line="240" w:lineRule="auto"/>
              <w:ind w:left="0" w:leftChars="0" w:right="0" w:rightChars="0" w:firstLine="0" w:firstLineChars="0"/>
              <w:jc w:val="right"/>
              <w:rPr>
                <w:rFonts w:hint="eastAsia" w:ascii="仿宋_GB2312" w:hAnsi="仿宋_GB2312" w:eastAsia="仿宋_GB2312" w:cs="仿宋_GB2312"/>
                <w:sz w:val="28"/>
                <w:szCs w:val="28"/>
                <w:highlight w:val="yellow"/>
              </w:rPr>
            </w:pPr>
          </w:p>
        </w:tc>
      </w:tr>
    </w:tbl>
    <w:p w14:paraId="30B14743">
      <w:pPr>
        <w:pStyle w:val="2"/>
        <w:rPr>
          <w:b w:val="0"/>
          <w:bCs/>
        </w:rPr>
      </w:pPr>
      <w:r>
        <w:rPr>
          <w:rFonts w:hint="eastAsia"/>
          <w:b w:val="0"/>
          <w:bCs/>
        </w:rPr>
        <w:t>十、奖项设置</w:t>
      </w:r>
    </w:p>
    <w:p w14:paraId="2C98E1B2">
      <w:pPr>
        <w:spacing w:line="360" w:lineRule="auto"/>
        <w:ind w:right="210" w:rightChars="100" w:firstLine="560" w:firstLineChars="20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学生赛设团队奖，教师赛设个人奖。学生团队和教师个人分设一、二、三等奖和优胜奖，各占</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0%、</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lang w:eastAsia="zh-CN"/>
        </w:rPr>
        <w:t>（小数点后四舍五入）。学生团队一、二等奖指导教师获优秀指导教师证书。</w:t>
      </w:r>
    </w:p>
    <w:p w14:paraId="185D040D">
      <w:pPr>
        <w:pStyle w:val="2"/>
        <w:rPr>
          <w:b w:val="0"/>
          <w:bCs/>
        </w:rPr>
      </w:pPr>
      <w:r>
        <w:rPr>
          <w:rFonts w:hint="eastAsia"/>
          <w:b w:val="0"/>
          <w:bCs/>
        </w:rPr>
        <w:t>十一、申诉与仲裁</w:t>
      </w:r>
    </w:p>
    <w:p w14:paraId="15E2E95C">
      <w:pPr>
        <w:spacing w:line="360" w:lineRule="auto"/>
        <w:ind w:right="210" w:rightChars="100"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赛项在比赛过程中若出现有失公正或有关人员违规等现象，代表队领队可在比赛结束后（选手赛场比赛内容全部完成）1小时之内向仲裁组提出书面申诉。超过时效不予受理。赛项监督仲裁工作组在接到申诉报告后的1小时内组织复议，并及时将复议结果以书面形式告知申诉方。</w:t>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5BBF42B-C3A9-41CA-AA63-FB8F00301368}"/>
  </w:font>
  <w:font w:name="黑体">
    <w:panose1 w:val="02010609060101010101"/>
    <w:charset w:val="86"/>
    <w:family w:val="auto"/>
    <w:pitch w:val="default"/>
    <w:sig w:usb0="800002BF" w:usb1="38CF7CFA" w:usb2="00000016" w:usb3="00000000" w:csb0="00040001" w:csb1="00000000"/>
    <w:embedRegular r:id="rId2" w:fontKey="{019386A4-155D-43FB-953E-CC6E8929F3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仿宋">
    <w:panose1 w:val="02010609060101010101"/>
    <w:charset w:val="86"/>
    <w:family w:val="auto"/>
    <w:pitch w:val="default"/>
    <w:sig w:usb0="800002BF" w:usb1="38CF7CFA" w:usb2="00000016" w:usb3="00000000" w:csb0="00040001" w:csb1="00000000"/>
    <w:embedRegular r:id="rId3" w:fontKey="{15415C62-8DF4-47CB-BEBC-5E0094CA1482}"/>
  </w:font>
  <w:font w:name="仿宋_GB2312">
    <w:panose1 w:val="02010609030101010101"/>
    <w:charset w:val="86"/>
    <w:family w:val="modern"/>
    <w:pitch w:val="default"/>
    <w:sig w:usb0="00000001" w:usb1="080E0000" w:usb2="00000000" w:usb3="00000000" w:csb0="00040000" w:csb1="00000000"/>
    <w:embedRegular r:id="rId4" w:fontKey="{8F17B699-A3B7-41B7-B361-6EE4CE30F967}"/>
  </w:font>
  <w:font w:name="方正小标宋简体">
    <w:panose1 w:val="02000000000000000000"/>
    <w:charset w:val="86"/>
    <w:family w:val="auto"/>
    <w:pitch w:val="default"/>
    <w:sig w:usb0="00000001" w:usb1="08000000" w:usb2="00000000" w:usb3="00000000" w:csb0="00040000" w:csb1="00000000"/>
    <w:embedRegular r:id="rId5" w:fontKey="{6F5B8591-6076-4CC7-BDAD-9A47FBDD9BFB}"/>
  </w:font>
  <w:font w:name="WPSEMBED10">
    <w:panose1 w:val="02000000000000000000"/>
    <w:charset w:val="86"/>
    <w:family w:val="auto"/>
    <w:pitch w:val="default"/>
    <w:sig w:usb0="00000001" w:usb1="08000000" w:usb2="00000000" w:usb3="00000000" w:csb0="00040000" w:csb1="00000000"/>
  </w:font>
  <w:font w:name="WPSEMBED9">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D0F2D">
    <w:pPr>
      <w:pStyle w:val="1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5209B">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C2B52">
                          <w:pPr>
                            <w:pStyle w:val="1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2BC2B52">
                    <w:pPr>
                      <w:pStyle w:val="10"/>
                    </w:pPr>
                    <w:r>
                      <w:fldChar w:fldCharType="begin"/>
                    </w:r>
                    <w:r>
                      <w:instrText xml:space="preserve"> PAGE  \* MERGEFORMAT </w:instrText>
                    </w:r>
                    <w:r>
                      <w:fldChar w:fldCharType="separate"/>
                    </w:r>
                    <w:r>
                      <w:t>32</w:t>
                    </w:r>
                    <w: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303C40"/>
    <w:multiLevelType w:val="multilevel"/>
    <w:tmpl w:val="2D303C40"/>
    <w:lvl w:ilvl="0" w:tentative="0">
      <w:start w:val="4"/>
      <w:numFmt w:val="bullet"/>
      <w:lvlText w:val="□"/>
      <w:lvlJc w:val="left"/>
      <w:pPr>
        <w:tabs>
          <w:tab w:val="left" w:pos="360"/>
        </w:tabs>
        <w:ind w:left="360" w:hanging="360"/>
      </w:pPr>
      <w:rPr>
        <w:rFonts w:hint="eastAsia" w:ascii="宋体" w:hAnsi="宋体" w:eastAsia="宋体" w:cs="Times New Roman"/>
        <w:b/>
        <w:sz w:val="44"/>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pStyle w:val="3"/>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MTE1MWUxZjUxNjE4YzA2NDZjMWRkNWVkZTczOWYifQ=="/>
  </w:docVars>
  <w:rsids>
    <w:rsidRoot w:val="622A36E7"/>
    <w:rsid w:val="000263B0"/>
    <w:rsid w:val="00074827"/>
    <w:rsid w:val="000A1467"/>
    <w:rsid w:val="00386FEE"/>
    <w:rsid w:val="003E141B"/>
    <w:rsid w:val="0043508A"/>
    <w:rsid w:val="00630970"/>
    <w:rsid w:val="006517EC"/>
    <w:rsid w:val="008144C1"/>
    <w:rsid w:val="00873967"/>
    <w:rsid w:val="00A279A8"/>
    <w:rsid w:val="01233A9E"/>
    <w:rsid w:val="033F5E19"/>
    <w:rsid w:val="0367297F"/>
    <w:rsid w:val="04F642DE"/>
    <w:rsid w:val="055204AE"/>
    <w:rsid w:val="05537D0A"/>
    <w:rsid w:val="05B44CC5"/>
    <w:rsid w:val="06016576"/>
    <w:rsid w:val="07C043E8"/>
    <w:rsid w:val="07D6114F"/>
    <w:rsid w:val="08F655F4"/>
    <w:rsid w:val="0AD67DBA"/>
    <w:rsid w:val="0BA17A99"/>
    <w:rsid w:val="0C0F0EA7"/>
    <w:rsid w:val="0C324B95"/>
    <w:rsid w:val="0C8573BB"/>
    <w:rsid w:val="0D21137C"/>
    <w:rsid w:val="0DA11FD2"/>
    <w:rsid w:val="0E9262B2"/>
    <w:rsid w:val="0EF90561"/>
    <w:rsid w:val="11300B74"/>
    <w:rsid w:val="11FC3C7B"/>
    <w:rsid w:val="12661A3D"/>
    <w:rsid w:val="1331204B"/>
    <w:rsid w:val="13785584"/>
    <w:rsid w:val="13B8313D"/>
    <w:rsid w:val="14470291"/>
    <w:rsid w:val="14737768"/>
    <w:rsid w:val="15135779"/>
    <w:rsid w:val="162B1A4C"/>
    <w:rsid w:val="17321EED"/>
    <w:rsid w:val="181B5077"/>
    <w:rsid w:val="185A5F29"/>
    <w:rsid w:val="194F4FD8"/>
    <w:rsid w:val="19F41BE9"/>
    <w:rsid w:val="1A07140F"/>
    <w:rsid w:val="1B3A769E"/>
    <w:rsid w:val="1CC32612"/>
    <w:rsid w:val="1CEE02BC"/>
    <w:rsid w:val="1EFF4C2E"/>
    <w:rsid w:val="1F370577"/>
    <w:rsid w:val="1F8D70FD"/>
    <w:rsid w:val="202D5948"/>
    <w:rsid w:val="211437CE"/>
    <w:rsid w:val="237D4370"/>
    <w:rsid w:val="23B343B6"/>
    <w:rsid w:val="24212BF2"/>
    <w:rsid w:val="244A1145"/>
    <w:rsid w:val="25140E84"/>
    <w:rsid w:val="254479BB"/>
    <w:rsid w:val="255303DE"/>
    <w:rsid w:val="28B906C0"/>
    <w:rsid w:val="29F82489"/>
    <w:rsid w:val="2A291D45"/>
    <w:rsid w:val="2A961358"/>
    <w:rsid w:val="2ACA0963"/>
    <w:rsid w:val="2B487ADA"/>
    <w:rsid w:val="2B8C79C6"/>
    <w:rsid w:val="2BA25857"/>
    <w:rsid w:val="2C42277B"/>
    <w:rsid w:val="2C4B7881"/>
    <w:rsid w:val="2C8132A3"/>
    <w:rsid w:val="2D053ED4"/>
    <w:rsid w:val="2D8B4130"/>
    <w:rsid w:val="2DCE7B02"/>
    <w:rsid w:val="2DD83397"/>
    <w:rsid w:val="2E443A5F"/>
    <w:rsid w:val="2E56250D"/>
    <w:rsid w:val="2F7104E2"/>
    <w:rsid w:val="2FB24DFE"/>
    <w:rsid w:val="301937F3"/>
    <w:rsid w:val="31864EB8"/>
    <w:rsid w:val="318C274E"/>
    <w:rsid w:val="31A87524"/>
    <w:rsid w:val="35D204D1"/>
    <w:rsid w:val="35E90D57"/>
    <w:rsid w:val="362A6B63"/>
    <w:rsid w:val="366949C8"/>
    <w:rsid w:val="36CC15BF"/>
    <w:rsid w:val="38044D88"/>
    <w:rsid w:val="38673C95"/>
    <w:rsid w:val="397228F1"/>
    <w:rsid w:val="397B107A"/>
    <w:rsid w:val="39900FC9"/>
    <w:rsid w:val="3A121F97"/>
    <w:rsid w:val="3BD66A3C"/>
    <w:rsid w:val="3C577B7C"/>
    <w:rsid w:val="3E9B4698"/>
    <w:rsid w:val="3F5900B0"/>
    <w:rsid w:val="3F590DC1"/>
    <w:rsid w:val="413D3F4E"/>
    <w:rsid w:val="416B0568"/>
    <w:rsid w:val="42367B5D"/>
    <w:rsid w:val="43BC57F0"/>
    <w:rsid w:val="48164D90"/>
    <w:rsid w:val="497F0713"/>
    <w:rsid w:val="4AAF1765"/>
    <w:rsid w:val="4B904E59"/>
    <w:rsid w:val="4BCD6719"/>
    <w:rsid w:val="4E2D2E33"/>
    <w:rsid w:val="4E850579"/>
    <w:rsid w:val="4EEC4C48"/>
    <w:rsid w:val="4F8853F0"/>
    <w:rsid w:val="4FF83023"/>
    <w:rsid w:val="51450494"/>
    <w:rsid w:val="524B7D2C"/>
    <w:rsid w:val="52BF009D"/>
    <w:rsid w:val="540226B1"/>
    <w:rsid w:val="54A33370"/>
    <w:rsid w:val="54BA187B"/>
    <w:rsid w:val="55103BD6"/>
    <w:rsid w:val="556C4241"/>
    <w:rsid w:val="563B3C13"/>
    <w:rsid w:val="56F40F4D"/>
    <w:rsid w:val="57063837"/>
    <w:rsid w:val="570F1857"/>
    <w:rsid w:val="57272B15"/>
    <w:rsid w:val="5886386C"/>
    <w:rsid w:val="58D520FD"/>
    <w:rsid w:val="5932687E"/>
    <w:rsid w:val="593B649F"/>
    <w:rsid w:val="5A3D61AC"/>
    <w:rsid w:val="5A986326"/>
    <w:rsid w:val="5AA31307"/>
    <w:rsid w:val="5B084A0C"/>
    <w:rsid w:val="5BCA3A6F"/>
    <w:rsid w:val="5C090A3C"/>
    <w:rsid w:val="5C11169E"/>
    <w:rsid w:val="5CAA50FB"/>
    <w:rsid w:val="5DF72B16"/>
    <w:rsid w:val="5E6108B9"/>
    <w:rsid w:val="5E987E55"/>
    <w:rsid w:val="5FBD2D5C"/>
    <w:rsid w:val="5FF4555F"/>
    <w:rsid w:val="600E4817"/>
    <w:rsid w:val="60475EE1"/>
    <w:rsid w:val="60AF592A"/>
    <w:rsid w:val="61493864"/>
    <w:rsid w:val="622A36E7"/>
    <w:rsid w:val="650E0E71"/>
    <w:rsid w:val="65B05E62"/>
    <w:rsid w:val="66EA5BDF"/>
    <w:rsid w:val="67094048"/>
    <w:rsid w:val="678216A2"/>
    <w:rsid w:val="681430FA"/>
    <w:rsid w:val="69FE1E6B"/>
    <w:rsid w:val="6A385281"/>
    <w:rsid w:val="6B8478B1"/>
    <w:rsid w:val="6C011EDD"/>
    <w:rsid w:val="6C4537CF"/>
    <w:rsid w:val="6D5E04BB"/>
    <w:rsid w:val="6EDF73DA"/>
    <w:rsid w:val="70D127C9"/>
    <w:rsid w:val="71061D1D"/>
    <w:rsid w:val="71632544"/>
    <w:rsid w:val="71B40FF2"/>
    <w:rsid w:val="71BC7EA6"/>
    <w:rsid w:val="726061A0"/>
    <w:rsid w:val="72D761FB"/>
    <w:rsid w:val="742A10F7"/>
    <w:rsid w:val="754879CE"/>
    <w:rsid w:val="76593F16"/>
    <w:rsid w:val="765E353C"/>
    <w:rsid w:val="771A46F7"/>
    <w:rsid w:val="788A485A"/>
    <w:rsid w:val="78B611AB"/>
    <w:rsid w:val="7A5325C6"/>
    <w:rsid w:val="7A7757EF"/>
    <w:rsid w:val="7A950625"/>
    <w:rsid w:val="7CCD2F68"/>
    <w:rsid w:val="7CE56503"/>
    <w:rsid w:val="7D625DA6"/>
    <w:rsid w:val="7F101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6"/>
    <w:autoRedefine/>
    <w:unhideWhenUsed/>
    <w:qFormat/>
    <w:uiPriority w:val="9"/>
    <w:pPr>
      <w:keepNext/>
      <w:keepLines/>
      <w:spacing w:before="260" w:after="260" w:line="413" w:lineRule="auto"/>
      <w:outlineLvl w:val="1"/>
    </w:pPr>
    <w:rPr>
      <w:rFonts w:ascii="Arial" w:hAnsi="Arial" w:eastAsia="黑体"/>
      <w:b/>
      <w:sz w:val="32"/>
    </w:rPr>
  </w:style>
  <w:style w:type="paragraph" w:styleId="3">
    <w:name w:val="heading 3"/>
    <w:basedOn w:val="1"/>
    <w:next w:val="1"/>
    <w:autoRedefine/>
    <w:qFormat/>
    <w:uiPriority w:val="0"/>
    <w:pPr>
      <w:widowControl/>
      <w:numPr>
        <w:ilvl w:val="2"/>
        <w:numId w:val="1"/>
      </w:numPr>
      <w:tabs>
        <w:tab w:val="left" w:pos="360"/>
      </w:tabs>
      <w:spacing w:after="80" w:line="256" w:lineRule="auto"/>
      <w:outlineLvl w:val="2"/>
    </w:pPr>
    <w:rPr>
      <w:rFonts w:ascii="微软雅黑" w:hAnsi="微软雅黑" w:eastAsia="微软雅黑" w:cs="微软雅黑"/>
      <w:b/>
      <w:color w:val="003764"/>
      <w:kern w:val="0"/>
      <w:sz w:val="22"/>
      <w:lang w:val="en-GB"/>
    </w:rPr>
  </w:style>
  <w:style w:type="paragraph" w:styleId="4">
    <w:name w:val="heading 4"/>
    <w:basedOn w:val="1"/>
    <w:next w:val="1"/>
    <w:autoRedefine/>
    <w:unhideWhenUsed/>
    <w:qFormat/>
    <w:uiPriority w:val="0"/>
    <w:pPr>
      <w:keepNext/>
      <w:keepLines/>
      <w:spacing w:before="280" w:line="372" w:lineRule="auto"/>
      <w:outlineLvl w:val="3"/>
    </w:pPr>
    <w:rPr>
      <w:rFonts w:ascii="Arial" w:hAnsi="Arial" w:eastAsia="黑体"/>
      <w:b/>
      <w:sz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autoRedefine/>
    <w:qFormat/>
    <w:uiPriority w:val="0"/>
    <w:pPr>
      <w:jc w:val="left"/>
    </w:pPr>
    <w:rPr>
      <w:rFonts w:ascii="Times New Roman" w:hAnsi="Times New Roman" w:eastAsiaTheme="minorEastAsia" w:cstheme="minorBidi"/>
    </w:rPr>
  </w:style>
  <w:style w:type="paragraph" w:styleId="6">
    <w:name w:val="Body Text"/>
    <w:basedOn w:val="1"/>
    <w:next w:val="1"/>
    <w:autoRedefine/>
    <w:qFormat/>
    <w:uiPriority w:val="99"/>
    <w:pPr>
      <w:widowControl/>
      <w:overflowPunct w:val="0"/>
      <w:autoSpaceDE w:val="0"/>
      <w:autoSpaceDN w:val="0"/>
      <w:adjustRightInd w:val="0"/>
      <w:spacing w:before="120" w:after="120"/>
      <w:ind w:left="2552"/>
      <w:jc w:val="left"/>
      <w:textAlignment w:val="baseline"/>
    </w:pPr>
    <w:rPr>
      <w:rFonts w:ascii="Book Antiqua" w:hAnsi="Book Antiqua"/>
      <w:kern w:val="0"/>
      <w:szCs w:val="20"/>
    </w:rPr>
  </w:style>
  <w:style w:type="paragraph" w:styleId="7">
    <w:name w:val="Body Text Indent"/>
    <w:basedOn w:val="1"/>
    <w:autoRedefine/>
    <w:unhideWhenUsed/>
    <w:qFormat/>
    <w:uiPriority w:val="99"/>
    <w:pPr>
      <w:spacing w:after="120"/>
      <w:ind w:left="420" w:leftChars="200"/>
    </w:pPr>
  </w:style>
  <w:style w:type="paragraph" w:styleId="8">
    <w:name w:val="Body Text Indent 2"/>
    <w:basedOn w:val="1"/>
    <w:autoRedefine/>
    <w:qFormat/>
    <w:uiPriority w:val="99"/>
    <w:pPr>
      <w:spacing w:after="120" w:line="480" w:lineRule="auto"/>
      <w:ind w:left="420" w:leftChars="200"/>
    </w:pPr>
  </w:style>
  <w:style w:type="paragraph" w:styleId="9">
    <w:name w:val="Balloon Text"/>
    <w:basedOn w:val="1"/>
    <w:link w:val="18"/>
    <w:qFormat/>
    <w:uiPriority w:val="0"/>
    <w:rPr>
      <w:sz w:val="18"/>
      <w:szCs w:val="18"/>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First Indent 2"/>
    <w:basedOn w:val="7"/>
    <w:autoRedefine/>
    <w:unhideWhenUsed/>
    <w:qFormat/>
    <w:uiPriority w:val="99"/>
    <w:pPr>
      <w:ind w:firstLine="420" w:firstLineChars="200"/>
    </w:pPr>
  </w:style>
  <w:style w:type="table" w:styleId="14">
    <w:name w:val="Table Grid"/>
    <w:basedOn w:val="13"/>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标题 2 Char"/>
    <w:link w:val="2"/>
    <w:autoRedefine/>
    <w:qFormat/>
    <w:uiPriority w:val="0"/>
    <w:rPr>
      <w:rFonts w:ascii="Arial" w:hAnsi="Arial" w:eastAsia="黑体"/>
      <w:b/>
      <w:sz w:val="32"/>
    </w:rPr>
  </w:style>
  <w:style w:type="character" w:customStyle="1" w:styleId="17">
    <w:name w:val="Editable"/>
    <w:basedOn w:val="15"/>
    <w:autoRedefine/>
    <w:qFormat/>
    <w:uiPriority w:val="0"/>
    <w:rPr>
      <w:rFonts w:hint="default" w:ascii="Times New Roman" w:hAnsi="Times New Roman" w:cs="Times New Roman"/>
      <w:color w:val="62B5E5"/>
    </w:rPr>
  </w:style>
  <w:style w:type="character" w:customStyle="1" w:styleId="18">
    <w:name w:val="批注框文本 Char"/>
    <w:basedOn w:val="15"/>
    <w:link w:val="9"/>
    <w:qFormat/>
    <w:uiPriority w:val="0"/>
    <w:rPr>
      <w:rFonts w:ascii="Calibri" w:hAnsi="Calibri"/>
      <w:kern w:val="2"/>
      <w:sz w:val="18"/>
      <w:szCs w:val="18"/>
    </w:rPr>
  </w:style>
  <w:style w:type="paragraph" w:customStyle="1" w:styleId="19">
    <w:name w:val="Table Text"/>
    <w:basedOn w:val="1"/>
    <w:semiHidden/>
    <w:qFormat/>
    <w:uiPriority w:val="0"/>
    <w:rPr>
      <w:rFonts w:ascii="仿宋" w:hAnsi="仿宋" w:eastAsia="仿宋" w:cs="仿宋"/>
      <w:sz w:val="24"/>
      <w:szCs w:val="24"/>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5-内文"/>
    <w:basedOn w:val="1"/>
    <w:qFormat/>
    <w:uiPriority w:val="0"/>
    <w:pPr>
      <w:spacing w:beforeLines="25" w:afterLines="25" w:line="300" w:lineRule="auto"/>
      <w:ind w:firstLine="200" w:firstLineChars="200"/>
    </w:pPr>
    <w:rPr>
      <w:rFonts w:eastAsia="仿宋_GB2312"/>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251</Words>
  <Characters>262</Characters>
  <Lines>110</Lines>
  <Paragraphs>31</Paragraphs>
  <TotalTime>571</TotalTime>
  <ScaleCrop>false</ScaleCrop>
  <LinksUpToDate>false</LinksUpToDate>
  <CharactersWithSpaces>305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2024-04-01T07:57:00Z</dcterms:created>
  <dc:creator>Remain</dc:creator>
  <cp:lastModifiedBy>孙春义</cp:lastModifiedBy>
  <cp:lastPrinted>2024-04-01T08:02:00Z</cp:lastPrinted>
  <dcterms:modified xsi:type="dcterms:W3CDTF">2026-06-15T03:38:34Z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ACA44B1CDAF44F7594461B29845528EF_13</vt:lpwstr>
  </property>
  <property fmtid="{D5CDD505-2E9C-101B-9397-08002B2CF9AE}" pid="4" name="KSOTemplateDocerSaveRecord">
    <vt:lpwstr>eyJoZGlkIjoiZDNmZmYwMDdhMWYyYjk4NDQ5ZjM2MzVhNjI2ODU3YWIiLCJ1c2VySWQiOiIzODY1OTI4ODAifQ==</vt:lpwstr>
  </property>
</Properties>
</file>